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092"/>
        <w:gridCol w:w="533"/>
        <w:gridCol w:w="1336"/>
        <w:gridCol w:w="195"/>
        <w:gridCol w:w="879"/>
        <w:gridCol w:w="2286"/>
        <w:gridCol w:w="2249"/>
        <w:gridCol w:w="4060"/>
      </w:tblGrid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Ходатайство об установлении публичного сервитута</w:t>
            </w:r>
          </w:p>
        </w:tc>
      </w:tr>
      <w:tr w:rsidR="003A214D">
        <w:trPr>
          <w:gridAfter w:val="1"/>
          <w:wAfter w:w="4060" w:type="dxa"/>
          <w:trHeight w:val="299"/>
        </w:trPr>
        <w:tc>
          <w:tcPr>
            <w:tcW w:w="840" w:type="dxa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" w:name="sub_2001"/>
            <w:r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Министерство энергетики Российской Федерации</w:t>
            </w:r>
          </w:p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" w:name="sub_2002"/>
            <w:r>
              <w:rPr>
                <w:rFonts w:ascii="Times New Roman" w:hAnsi="Times New Roman" w:cs="Times New Roman"/>
              </w:rPr>
              <w:t>2</w:t>
            </w:r>
            <w:bookmarkEnd w:id="2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3" w:name="sub_2021"/>
            <w:r>
              <w:rPr>
                <w:rFonts w:ascii="Times New Roman" w:hAnsi="Times New Roman" w:cs="Times New Roman"/>
              </w:rPr>
              <w:t>2.1</w:t>
            </w:r>
            <w:bookmarkEnd w:id="3"/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Публичное акционерное общество «Газпром»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4" w:name="sub_2022"/>
            <w:r>
              <w:rPr>
                <w:rFonts w:ascii="Times New Roman" w:hAnsi="Times New Roman" w:cs="Times New Roman"/>
              </w:rPr>
              <w:t>2.2</w:t>
            </w:r>
            <w:bookmarkEnd w:id="4"/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(при наличии)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«Газпром»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5" w:name="sub_2023"/>
            <w:r>
              <w:rPr>
                <w:rFonts w:ascii="Times New Roman" w:hAnsi="Times New Roman" w:cs="Times New Roman"/>
              </w:rPr>
              <w:t>2.3</w:t>
            </w:r>
            <w:bookmarkEnd w:id="5"/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акционерное общество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6" w:name="sub_2024"/>
            <w:r>
              <w:rPr>
                <w:rFonts w:ascii="Times New Roman" w:hAnsi="Times New Roman" w:cs="Times New Roman"/>
              </w:rPr>
              <w:t>2.4</w:t>
            </w:r>
            <w:bookmarkEnd w:id="6"/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№ 1255, Санкт-Петербург, 200961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7" w:name="sub_2026"/>
            <w:r>
              <w:rPr>
                <w:rFonts w:ascii="Times New Roman" w:hAnsi="Times New Roman" w:cs="Times New Roman"/>
              </w:rPr>
              <w:t>2.</w:t>
            </w:r>
            <w:bookmarkEnd w:id="7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hyperlink r:id="rId7" w:tooltip="mailto:gazprom@gazprom.ru" w:history="1">
              <w:r>
                <w:rPr>
                  <w:rStyle w:val="af7"/>
                  <w:rFonts w:ascii="Times New Roman" w:hAnsi="Times New Roman"/>
                  <w:color w:val="auto"/>
                  <w:sz w:val="26"/>
                </w:rPr>
                <w:t>gazprom@gazprom.ru</w:t>
              </w:r>
            </w:hyperlink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8" w:name="sub_2027"/>
            <w:r>
              <w:rPr>
                <w:rFonts w:ascii="Times New Roman" w:hAnsi="Times New Roman" w:cs="Times New Roman"/>
              </w:rPr>
              <w:t>2.</w:t>
            </w:r>
            <w:bookmarkEnd w:id="8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1027700070518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9" w:name="sub_2028"/>
            <w:r>
              <w:rPr>
                <w:rFonts w:ascii="Times New Roman" w:hAnsi="Times New Roman" w:cs="Times New Roman"/>
              </w:rPr>
              <w:t>2.</w:t>
            </w:r>
            <w:bookmarkEnd w:id="9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7736050003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0" w:name="sub_2003"/>
            <w:r>
              <w:rPr>
                <w:rFonts w:ascii="Times New Roman" w:hAnsi="Times New Roman" w:cs="Times New Roman"/>
              </w:rPr>
              <w:t>3</w:t>
            </w:r>
            <w:bookmarkEnd w:id="10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представителе заявителя: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1" w:name="sub_2031"/>
            <w:r>
              <w:rPr>
                <w:rFonts w:ascii="Times New Roman" w:hAnsi="Times New Roman" w:cs="Times New Roman"/>
              </w:rPr>
              <w:t>3.1</w:t>
            </w:r>
            <w:bookmarkEnd w:id="11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vMerge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2" w:name="sub_2032"/>
            <w:r>
              <w:rPr>
                <w:rFonts w:ascii="Times New Roman" w:hAnsi="Times New Roman" w:cs="Times New Roman"/>
              </w:rPr>
              <w:t>3.2</w:t>
            </w:r>
            <w:bookmarkEnd w:id="12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3A214D" w:rsidRDefault="00722C91">
            <w:r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K.Tishina@adm.gazprom.ru</w:t>
            </w:r>
          </w:p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Ya.Rastorgueva@ekaterinburg-tr.gazprom.ru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3" w:name="sub_2033"/>
            <w:r>
              <w:rPr>
                <w:rFonts w:ascii="Times New Roman" w:hAnsi="Times New Roman" w:cs="Times New Roman"/>
              </w:rPr>
              <w:t>3.3</w:t>
            </w:r>
            <w:bookmarkEnd w:id="13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(812) 729-30-51, (343) 359-75-71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4" w:name="sub_2034"/>
            <w:r>
              <w:rPr>
                <w:rFonts w:ascii="Times New Roman" w:hAnsi="Times New Roman" w:cs="Times New Roman"/>
              </w:rPr>
              <w:t>3.4</w:t>
            </w:r>
            <w:bookmarkEnd w:id="14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Доверенность ПАО «Газпром» от 01.04.2024 № 01/04/04-208д (зарегистрировано в реестре № 78/98-н/78-2024-3-2063). 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5" w:name="sub_2004"/>
            <w:r>
              <w:rPr>
                <w:rFonts w:ascii="Times New Roman" w:hAnsi="Times New Roman" w:cs="Times New Roman"/>
              </w:rPr>
              <w:t>4</w:t>
            </w:r>
            <w:bookmarkEnd w:id="15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установить публичный сервитут в отношении земель и (или) земельного (ых) участка(ов) в целях эксплуатации линейного объекта системы га</w:t>
            </w:r>
            <w:r>
              <w:rPr>
                <w:rFonts w:ascii="Times New Roman" w:hAnsi="Times New Roman" w:cs="Times New Roman"/>
              </w:rPr>
              <w:t>зоснабжения федерального значения «Подземный газопровод-отвод к «КС Саракташская-Исянгулово»» и его неотъемлемых технологических частей, право собственности, на который возникло до 1 сентября 2018 года в соответствии с п. 3 ст. 3.6 Федерального закона от 2</w:t>
            </w:r>
            <w:r>
              <w:rPr>
                <w:rFonts w:ascii="Times New Roman" w:hAnsi="Times New Roman" w:cs="Times New Roman"/>
              </w:rPr>
              <w:t>5 октября 2001 г. № 137-ФЗ «О введении в действие Земельного кодекса Российской Федерации»).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6" w:name="sub_2005"/>
            <w:r>
              <w:rPr>
                <w:rFonts w:ascii="Times New Roman" w:hAnsi="Times New Roman" w:cs="Times New Roman"/>
              </w:rPr>
              <w:t>5</w:t>
            </w:r>
            <w:bookmarkEnd w:id="16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Испрашиваемый срок публичного сервитута: </w:t>
            </w:r>
            <w:r>
              <w:rPr>
                <w:rFonts w:ascii="Times New Roman" w:hAnsi="Times New Roman" w:cs="Times New Roman"/>
                <w:u w:val="single"/>
              </w:rPr>
              <w:t>49 лет.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7" w:name="sub_2006"/>
            <w:r>
              <w:rPr>
                <w:rFonts w:ascii="Times New Roman" w:hAnsi="Times New Roman" w:cs="Times New Roman"/>
              </w:rPr>
              <w:t>6</w:t>
            </w:r>
            <w:bookmarkEnd w:id="17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</w:t>
            </w:r>
            <w:r>
              <w:rPr>
                <w:rFonts w:ascii="Times New Roman" w:hAnsi="Times New Roman" w:cs="Times New Roman"/>
              </w:rPr>
              <w:t>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так как публичный сервитут предполагается установить в целях эксплуат</w:t>
            </w:r>
            <w:r>
              <w:rPr>
                <w:rFonts w:ascii="Times New Roman" w:hAnsi="Times New Roman" w:cs="Times New Roman"/>
              </w:rPr>
              <w:t>ации существующего сооружения, то обстоятельства, влияющие на невозможность или существенное затруднение использования земельного участка (его части) и (или) расположенного на нем объекта недвижимости в соответствии с их разрешенным использованием</w:t>
            </w:r>
          </w:p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отсутств</w:t>
            </w:r>
            <w:r>
              <w:rPr>
                <w:rFonts w:ascii="Times New Roman" w:hAnsi="Times New Roman" w:cs="Times New Roman"/>
                <w:u w:val="single"/>
              </w:rPr>
              <w:t>ует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8" w:name="sub_2007"/>
            <w:r>
              <w:rPr>
                <w:rFonts w:ascii="Times New Roman" w:hAnsi="Times New Roman" w:cs="Times New Roman"/>
              </w:rPr>
              <w:t>7</w:t>
            </w:r>
            <w:bookmarkEnd w:id="18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необходимости установления публичного сервитута: 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публичного сервитута испрашивается в целях, предусмотрен-ных пунктом 3 статьи 3.6 Федерального закона от 25 октября 2001 г. № 137-ФЗ «О </w:t>
            </w:r>
            <w:r>
              <w:rPr>
                <w:rFonts w:ascii="Times New Roman" w:hAnsi="Times New Roman" w:cs="Times New Roman"/>
              </w:rPr>
              <w:lastRenderedPageBreak/>
              <w:t>введении в действие Земельного кодекса</w:t>
            </w:r>
            <w:r>
              <w:rPr>
                <w:rFonts w:ascii="Times New Roman" w:hAnsi="Times New Roman" w:cs="Times New Roman"/>
              </w:rPr>
              <w:t xml:space="preserve"> Российской Федерации», для эксплуатации линейного объекта системы газоснабжения федерального значения «Подземный газопровод-отвод к «КС Саракташская-Исянгулово»» и его неотъемлемых технологических частей.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- подземный газопровод-отвод к «КС Сара</w:t>
            </w:r>
            <w:r>
              <w:rPr>
                <w:rFonts w:ascii="Times New Roman" w:hAnsi="Times New Roman" w:cs="Times New Roman"/>
              </w:rPr>
              <w:t>кташская-Исянгулово»; кадастровый номер 56:26:0000000:4516; запись о государственной регистрации права собственности ПАО «Газпром» от 01.11.2005 года № 56-56-29/006/2005-139.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- линия технологической связи; кадастровый номер 56:26:0000000:1659; з</w:t>
            </w:r>
            <w:r>
              <w:rPr>
                <w:rFonts w:ascii="Times New Roman" w:hAnsi="Times New Roman" w:cs="Times New Roman"/>
              </w:rPr>
              <w:t>апись о государственной регистрации права собственности ПАО «Газпром» от 01.11.2005 года № 56-56-29/006/2005-140.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 объект расположен в границах земельных участков, в отношении которого заключены договоры аренды: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с кадастровым номером 56:26:0000000:142 – договор аренды от 28.01.2008 г. №264-ФА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с кадастровым номером 56:26:1902001:155 – договор аренды от 30.03.2009 г. №18 (в ред.доп.соглашения от 11.05.2012 г. №1)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устан</w:t>
            </w:r>
            <w:r>
              <w:rPr>
                <w:rFonts w:ascii="Times New Roman" w:hAnsi="Times New Roman" w:cs="Times New Roman"/>
              </w:rPr>
              <w:t>авливаемого публичного сервитута определены в пределах, не превышающих размеров соответствующей охранной зоны (п. 6 ст. 39.41 ЗК РФ). При этом публичный сервитут устанавливается на условиях наименее обременительных для использования земельных участков в со</w:t>
            </w:r>
            <w:r>
              <w:rPr>
                <w:rFonts w:ascii="Times New Roman" w:hAnsi="Times New Roman" w:cs="Times New Roman"/>
              </w:rPr>
              <w:t xml:space="preserve">ответствии с их целевым назначением и разрешенным использованием (п. 8 ст. 23 ЗК РФ). 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пункту 4 статьи 3.6 Федерального закона от 25.10.2001 № 137-ФЗ «О введении в действие Земельного кодекса Российской Федерации», плата за пуб-личный сервитут не </w:t>
            </w:r>
            <w:r>
              <w:rPr>
                <w:rFonts w:ascii="Times New Roman" w:hAnsi="Times New Roman" w:cs="Times New Roman"/>
              </w:rPr>
              <w:t>устанавливается, в том числе в случае установления публичного сервитута в отношении земельных участков, находящихся в частной собственности.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Правительства РФ от 06.05.2015 № 816-р «Об утверждении схемы территориального планирования Российской </w:t>
            </w:r>
            <w:r>
              <w:rPr>
                <w:rFonts w:ascii="Times New Roman" w:hAnsi="Times New Roman" w:cs="Times New Roman"/>
              </w:rPr>
              <w:t>Федерации в области феде-рального транспорта (в части трубопроводного транспорта)».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статье 5 Федерального закона от 31.03.1999 № 69-ФЗ «О газоснабжении в Российской Федерации» (далее - Федеральный закон о газоснабжении) Единая система газоснабжени</w:t>
            </w:r>
            <w:r>
              <w:rPr>
                <w:rFonts w:ascii="Times New Roman" w:hAnsi="Times New Roman" w:cs="Times New Roman"/>
              </w:rPr>
              <w:t>я (далее - ЕСГ) входит в состав федеральной си-стемы газоснабжения, которая является одной из федеральных энергетических си-стем Российской Федерации. В соответствии со ст. 6 Федерального закона о газоснабжении «ЕСГ представляет собой имущественный, произв</w:t>
            </w:r>
            <w:r>
              <w:rPr>
                <w:rFonts w:ascii="Times New Roman" w:hAnsi="Times New Roman" w:cs="Times New Roman"/>
              </w:rPr>
              <w:t>одственный комплекс, который состоит из технологически, организационно и экономически взаимосвязанных, и централизованно управляемых производственных и иных объектов, предназначенных для добычи, транспортировки, хранения и поставок газа…». ЕСГ обеспечивает</w:t>
            </w:r>
            <w:r>
              <w:rPr>
                <w:rFonts w:ascii="Times New Roman" w:hAnsi="Times New Roman" w:cs="Times New Roman"/>
              </w:rPr>
              <w:t xml:space="preserve"> непрерывный цикл поставки газа от скважины до конечного потребителя. При этом входящие в систему элементы самостоятельно функционировать не могут.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со статьей 6 Федерального закона от 31.03.1999 № 69-ФЗ «О газоснабжении в Российской Федераци</w:t>
            </w:r>
            <w:r>
              <w:rPr>
                <w:rFonts w:ascii="Times New Roman" w:hAnsi="Times New Roman" w:cs="Times New Roman"/>
              </w:rPr>
              <w:t>и» Единая система газоснабжения (ЕСГ) представляет собой имущественный производственный комплекс, который состоит из технологически, организационно и экономически взаимосвязанных и централизованно управляемых производственных и иных объектов, предназначенн</w:t>
            </w:r>
            <w:r>
              <w:rPr>
                <w:rFonts w:ascii="Times New Roman" w:hAnsi="Times New Roman" w:cs="Times New Roman"/>
              </w:rPr>
              <w:t xml:space="preserve">ых для добычи, транспортировки, хранения и поставок газа, и находится в собственности организации, образованной в установленных гражданским законодательством организационно-правовой форме и порядке, получившей объекты указанного комплекса в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в</w:t>
            </w:r>
            <w:r>
              <w:rPr>
                <w:rFonts w:ascii="Times New Roman" w:hAnsi="Times New Roman" w:cs="Times New Roman"/>
              </w:rPr>
              <w:t xml:space="preserve"> процессе приватизации либо создавшей или приобретшей их на других основаниях, предусмотренных законодательством Российской Феде-рации.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ЕСГ является основной системой газоснабжения в Российской Федерации и ее деятельность регулируется государством в порядк</w:t>
            </w:r>
            <w:r>
              <w:rPr>
                <w:rFonts w:ascii="Times New Roman" w:hAnsi="Times New Roman" w:cs="Times New Roman"/>
              </w:rPr>
              <w:t xml:space="preserve">е, установленном законода-тельством Российской Федерации. 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положениям статьи 5 Федерального закона о газоснабжении Феде-ральная система газоснабжения - совокупность действующих на территории Рос-сийской Федерации систем газоснабжения: Единой систе</w:t>
            </w:r>
            <w:r>
              <w:rPr>
                <w:rFonts w:ascii="Times New Roman" w:hAnsi="Times New Roman" w:cs="Times New Roman"/>
              </w:rPr>
              <w:t>мы газоснабжения, региональных систем газоснабжения, газораспределительных систем и независимых организаций. Федеральная система газоснабжения является одной из федеральных энергетических систем Российской Федерации.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Положениями статьи 6 Перечня видов объе</w:t>
            </w:r>
            <w:r>
              <w:rPr>
                <w:rFonts w:ascii="Times New Roman" w:hAnsi="Times New Roman" w:cs="Times New Roman"/>
              </w:rPr>
              <w:t>ктов федерального значения, подлежащих отображению на схемах территориального планирования Российской Федерации, в области федерального транспорта, утвержденного распоряжением Правительства Российской Федерации от 09.02.2012 № 162-р к объектам федерального</w:t>
            </w:r>
            <w:r>
              <w:rPr>
                <w:rFonts w:ascii="Times New Roman" w:hAnsi="Times New Roman" w:cs="Times New Roman"/>
              </w:rPr>
              <w:t xml:space="preserve"> значения отнесены: магистральные трубопроводы для транспортировки жидких и газообразных углеводородов; сети газораспределения, предназначенные для транспортировки природного газа под давлением свыше 1,2 МПа и сжиженного углеводородного газа под давлением:</w:t>
            </w:r>
            <w:r>
              <w:rPr>
                <w:rFonts w:ascii="Times New Roman" w:hAnsi="Times New Roman" w:cs="Times New Roman"/>
              </w:rPr>
              <w:t xml:space="preserve"> выше 1,6 МПа.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положениям пунктов 7 и 9 статьи 10 Градостроительного кодекса Российской Федерации к схемам территориального планирования Российской Фе-дерации прилагаются материалы по их обоснованию в текстовой форме и в виде карт. Указанные карты</w:t>
            </w:r>
            <w:r>
              <w:rPr>
                <w:rFonts w:ascii="Times New Roman" w:hAnsi="Times New Roman" w:cs="Times New Roman"/>
              </w:rPr>
              <w:t xml:space="preserve"> составляются применительно к территории, в отношении которой разрабатывается схема территориального планирования Российской Федерации. В свою очередь, материалы по обоснованию схем территориального планирования Российской Федерации в виде карт отображают,</w:t>
            </w:r>
            <w:r>
              <w:rPr>
                <w:rFonts w:ascii="Times New Roman" w:hAnsi="Times New Roman" w:cs="Times New Roman"/>
              </w:rPr>
              <w:t xml:space="preserve"> в числе прочего, местоположение существующих и строящихся объектов федерального значения в соответствующей области.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статье 14 Федерального закона о газоснабжении для обеспечения надежного газоснабжения, безопасного и устойчивого функционирования </w:t>
            </w:r>
            <w:r>
              <w:rPr>
                <w:rFonts w:ascii="Times New Roman" w:hAnsi="Times New Roman" w:cs="Times New Roman"/>
              </w:rPr>
              <w:t xml:space="preserve">объек-тов ЕСГ, связанных общим технологическим режимом добычи, транспортировки и поставок газа, разделение Единой системы газоснабжения не допускается. В состав ЕСГ входят магистральные газопроводы, компрессорные станции, объекты подземного хранения газа, </w:t>
            </w:r>
            <w:r>
              <w:rPr>
                <w:rFonts w:ascii="Times New Roman" w:hAnsi="Times New Roman" w:cs="Times New Roman"/>
              </w:rPr>
              <w:t>газораспределительные станции и иные объекты. Данные объекты обеспечивают бесперебойное газоснабжение всей территории РФ.</w:t>
            </w:r>
          </w:p>
          <w:p w:rsidR="003A214D" w:rsidRDefault="0072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изложенного, существующий линейный объект «Подземный газопровод-отвод к «КС Саракташская-Исянгулово»» и его неотъемлемые </w:t>
            </w:r>
            <w:r>
              <w:rPr>
                <w:rFonts w:ascii="Times New Roman" w:hAnsi="Times New Roman" w:cs="Times New Roman"/>
              </w:rPr>
              <w:t>технологические части является объектом федерального значения и внесен в схему территориального планирования Российской Федерации в области федерального транспорта (в части трубопроводного транспорта).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19" w:name="sub_2008"/>
            <w:r>
              <w:rPr>
                <w:rFonts w:ascii="Times New Roman" w:hAnsi="Times New Roman" w:cs="Times New Roman"/>
              </w:rPr>
              <w:lastRenderedPageBreak/>
              <w:t>8</w:t>
            </w:r>
            <w:bookmarkEnd w:id="19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</w:t>
            </w:r>
            <w:r>
              <w:rPr>
                <w:rFonts w:ascii="Times New Roman" w:hAnsi="Times New Roman"/>
              </w:rPr>
              <w:t>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</w:t>
            </w:r>
            <w:r>
              <w:rPr>
                <w:rFonts w:ascii="Times New Roman" w:hAnsi="Times New Roman"/>
              </w:rPr>
              <w:t xml:space="preserve">адателем указанного инженерного сооружения (в данном случае указываются сведения в объеме, предусмотренном </w:t>
            </w:r>
            <w:hyperlink w:anchor="sub_11002" w:tooltip="#sub_11002" w:history="1">
              <w:r>
                <w:rPr>
                  <w:rFonts w:ascii="Times New Roman" w:hAnsi="Times New Roman"/>
                </w:rPr>
                <w:t>строкой 2</w:t>
              </w:r>
            </w:hyperlink>
            <w:r>
              <w:rPr>
                <w:rFonts w:ascii="Times New Roman" w:hAnsi="Times New Roman"/>
              </w:rPr>
              <w:t xml:space="preserve"> настоящей формы) (заполняется в случае, если ходатайство об </w:t>
            </w:r>
            <w:r>
              <w:rPr>
                <w:rFonts w:ascii="Times New Roman" w:hAnsi="Times New Roman"/>
              </w:rPr>
              <w:lastRenderedPageBreak/>
              <w:t xml:space="preserve">установлении публичного сервитута </w:t>
            </w:r>
            <w:r>
              <w:rPr>
                <w:rFonts w:ascii="Times New Roman" w:hAnsi="Times New Roman"/>
              </w:rPr>
              <w:t>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</w:t>
            </w:r>
            <w:r>
              <w:rPr>
                <w:rFonts w:ascii="Times New Roman" w:hAnsi="Times New Roman"/>
              </w:rPr>
              <w:t xml:space="preserve">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</w:t>
            </w:r>
            <w:r>
              <w:rPr>
                <w:rFonts w:ascii="Times New Roman" w:hAnsi="Times New Roman"/>
              </w:rPr>
              <w:t xml:space="preserve">ремонта его участков (частей) </w:t>
            </w:r>
            <w:r>
              <w:rPr>
                <w:rFonts w:ascii="Times New Roman" w:hAnsi="Times New Roman"/>
                <w:u w:val="single"/>
              </w:rPr>
              <w:t>отсутствует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0" w:name="sub_2009"/>
            <w:r>
              <w:rPr>
                <w:rFonts w:ascii="Times New Roman" w:hAnsi="Times New Roman" w:cs="Times New Roman"/>
              </w:rPr>
              <w:lastRenderedPageBreak/>
              <w:t>9</w:t>
            </w:r>
            <w:bookmarkEnd w:id="20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 56:26:000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0000:142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56:26:1605001:10; 56:26:1605001:11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56:26:1605001:12; 56:26:1605001:13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56:26:1605001:14; 56:26:1605001:15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56:26:1605001:16; 56:26:1605001:17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56:26:1605001:18; 56:26:0311001:51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56:26:0316002:7; 56:26:1604001:10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56:26:1604001:11; 56:26:1604001:13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56:26:1604001:14; 56:26:1604001:15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56:26:1604001:16; 56:26:0318002:65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56:26:0318002:66; 56:26:0318002:67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56:26:0318002:68; 56:26:0319001:81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56:26:0319001:82; 56:26:0319001:83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56:26:0319001:84; 56:26:0319001:85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56:26:1905001:34; 56:26:1905001:35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01:36; 56:26:1905001:42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56:26:1905001:43; 56:26:1905001:8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56:26:1905001:9; 56:26:1907001:269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56:26:1907001:271; 56:26:1906001:151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56:26:1906001:152; 56:26:1906001:153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56:26:0309001:40; 56:26:0309001:41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56:26:0309001:42; 56:26:0309001:43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56:26:0309001:44;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6:26:1605001:7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56:26:1605001:8; 56:26:1605001:9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56:26:1606001:21; 56:26:1606001:22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56:26:1606001:23; 56:26:1606001:24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56:26:1606001:25; 56:26:1606001:26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56:26:0210001:14; 56:26:0210001:15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56:26:0210001:16; 56:26:0210001:17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56:26:0210001:18; 56:26:0210001:1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56:26:0210001:2; 56:26:0210001:20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56:26:0210001:21; 56:26:1905001:15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56:26:1905001:16; 56:26:1905001:17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56:26:1905001:18; 56:26:1905001:19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56:26:1905001:20; 56:26:1905001:21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56:26:1905001:22; 56:26:1905001:23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56:26:0206001:2; 56:26:0206001:3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56:26:0206001:4; 56:26:0206001:5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56:26:0206001:6; 56:26:0211001:10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56:26:0211001:11; 56:26:0211001:12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56:26:0211001:13; 56:26:1908001:5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56:26:1908001:6; 56:26:1908001:8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56:26:1908001:9; 56:26:0315001:2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56:26:0315001:3; 56:26:0315001:4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56:26:0315001:5; 56:2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6:0315001:6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56:26:0211001:8; 56:26:0211001:9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56:26:0315001:7; 56:26:0315001:8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56:26:0316001:20; 56:26:0311001:38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56:26:0311001:40; 56:26:0311001:41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56:26:1605001:19; 56:26:1605001:2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56:26:1605001:20; 56:26:1605001:21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56:26:1605001:3; 56:26:1605001:4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56:26:1605001:5; 56:26:1605001:6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56:26:0319001:86; 56:26:0319001:88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56:26:0319001:89; 56:26:0319001:90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56:26:0319001:91; 56:26:0210001:10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56:26:0210001:11; 56:26:0210001:12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56:26:0210001:13; 56:26:1604001:17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56:26:1604001:18; 56:26:1604001:19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56:26:1604001:20; 56:26:1604001:21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56:26:1604001:22; 56:26:1604001:7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56:26:1604001:8; 56:26:1604001:9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56:26:1905001:24; 56:26:1606001:27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56:26:1606001:28; 56:26:1905001:25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56:26:1606001:29; 56:26:1606001:30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56:26:1606001:31; 56:26:1606001:32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33; 56:26:1606001:34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56:26:1606001:35; 56:26:1905001:26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56:26:1905001:28; 56:26:1905001:29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56:26:1905001:30; 56:26:1905001:31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56:26:1905001:32; 56:26:1905001:33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56:26:0309001:45; 56:26:0309001:46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56:26:0309001:47; 56:26:0309001:48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56:26:0309001:49; 56:26:0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309001:50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56:26:0311001:39; 56:26:0318002:63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56:26:0318002:64;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56:26:0211001:14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56:26:0211001:15; 56:26:0211001:16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56:26:0211001:2; 56:26:1904001:79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56:26:1904001:80; 56:26:0211001:3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56:26:1904001:81; 56:26:0211001:4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56:26:1904001:82; 56:26:0211001:5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:1904001:83; 56:26:0211001:6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56:26:1904001:84; 56:26:0311001:42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56:26:0311001:43; 56:26:0311001:44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56:26:0311001:45; 56:26:0311001:46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56:26:0311001:47; 56:26:0311001:48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56:26:0311001:49; 56:26:0311001:50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56:26:0210001:22; 56:26:0210001:3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56:26:0210001:4;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56:26:0210001:5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56:26:0210001:6; 56:26:0210001:7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56:26:0210001:8; 56:26:0210001:9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56:26:1907001:272; 56:26:1907001:273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56:26:1907001:274; 56:26:1907001:275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56:26:1907001:276; 56:26:1907001:277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56:26:1908001:10; 56:26:1908001:4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56:26:1904001:85;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56:26:1904001:86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56:26:1904001:87; 56:26:1904001:88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56:26:1904001:89; 56:26:1905001:10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56:26:1905001:11; 56:26:1905001:13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56:26:1905001:14; 56:26:0316001:21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56:26:0316001:22; 56:26:0316001:23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56:26:0316001:24; 56:26:0316001:25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56:26:0316001:26; 56:26:03160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01:27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56:26:0316001:28; 56:26:0316001:29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56:26:0316001:30; 56:26:0316001:31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56:26:0316001:32; 56:26:0316001:33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56:26:0316001:34; 56:26:0316001:35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56:26:1905001:40; 56:26:1905001:27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56:26:1905001:38; 56:26:0316001:19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56:26:1907001:270; 56:26:1905001:41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6:1905001:39; 56:26:1905001:37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56:26:0319001:87; 56:26:1604001:12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56:26:0211001:7; 56:26:1908001:7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56:26:1905001:12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Местоположение установлено относительно ориентира, расположенного за пределами участка. Ориентир нежилое помещение. </w:t>
            </w:r>
            <w:r>
              <w:rPr>
                <w:rFonts w:ascii="Times New Roman" w:hAnsi="Times New Roman" w:cs="Times New Roman"/>
              </w:rPr>
              <w:t>Участок находится примерно в 5000 м, по направлению на запад от ориентира. Почтовый адрес ориентира: обл. Оренбургская, р-н Саракташский, п. Саракташ, ул. Дачная, 42 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56:26:1902001:155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56:26:1902001:156; 56:26:1902001:157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56:26:1902001:158;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56:26:1902001:159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56:26:1902001:160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56:26:0311001:52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56:26:0311001:53; 56:26:0311001:57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56:26:0311001:65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с. Васильевка, ул. Дорожная, 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56:26:0000000:10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56:26:1906001:154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56:26:1605001:22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56:26:1605001:23;   56:26:1605001:31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 нежилое здание. Участок</w:t>
            </w:r>
            <w:r>
              <w:rPr>
                <w:rFonts w:ascii="Times New Roman" w:hAnsi="Times New Roman" w:cs="Times New Roman"/>
              </w:rPr>
              <w:t xml:space="preserve"> находится примерно в 400 м, по направлению на северо-запад от ориентира. Почтовый адрес ориентира: обл. Оренбургская, р-н Саракташский, с. Спасское, ул. Луговая, дом 94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56:26:0211001:17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56:26:0211001:20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 нежилое здание. Участок находится примерно в 1000 м, по направлению на юг от ориентира. Почтовый адрес ориентира: обл. Оренбургская, р-н Саракташский, с. Бурун</w:t>
            </w:r>
            <w:r>
              <w:rPr>
                <w:rFonts w:ascii="Times New Roman" w:hAnsi="Times New Roman" w:cs="Times New Roman"/>
              </w:rPr>
              <w:t>ча, ул. Центральная, дом №2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56:26:0000000:56</w:t>
            </w:r>
          </w:p>
          <w:p w:rsidR="003A214D" w:rsidRDefault="00722C91">
            <w:pPr>
              <w:ind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56:26:0316002:3</w:t>
            </w:r>
          </w:p>
          <w:p w:rsidR="003A214D" w:rsidRDefault="00722C91">
            <w:pPr>
              <w:ind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56:26:0212001:3</w:t>
            </w:r>
          </w:p>
          <w:p w:rsidR="003A214D" w:rsidRDefault="00722C91">
            <w:pPr>
              <w:ind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56:26:1908001:2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земельный участок расположен в центральной части Саракташского районого квартала</w:t>
            </w:r>
          </w:p>
        </w:tc>
      </w:tr>
      <w:tr w:rsidR="003A214D">
        <w:trPr>
          <w:gridAfter w:val="1"/>
          <w:wAfter w:w="4060" w:type="dxa"/>
          <w:trHeight w:val="652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56:26:0000000:124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56:26:0319001:32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с. Новоселки, ул. Заводская, 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56:26:0000000:126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56:26:0319001:73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с. Васильевка, ул. Школьная, 5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56:26:0000000:144</w:t>
            </w:r>
          </w:p>
          <w:p w:rsidR="003A214D" w:rsidRDefault="00722C91">
            <w:pPr>
              <w:ind w:right="-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56:26:1907001:358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56:26:0000000:125</w:t>
            </w:r>
          </w:p>
          <w:p w:rsidR="003A214D" w:rsidRDefault="00722C91">
            <w:pPr>
              <w:ind w:right="-113" w:firstLine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56:26:0319001:56</w:t>
            </w:r>
          </w:p>
          <w:p w:rsidR="003A214D" w:rsidRDefault="00722C91">
            <w:pPr>
              <w:ind w:right="-113" w:firstLine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56:26:0319001:57</w:t>
            </w:r>
          </w:p>
          <w:p w:rsidR="003A214D" w:rsidRDefault="00722C91">
            <w:pPr>
              <w:ind w:right="-113" w:firstLine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56:26:0319001:62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установлено относительно ориентира, расположенного за пределами участка. Ориентир школа. Участок находится примерно в 3 км от ориентира по направлению на северо-запад. Почтовый адрес ориентира: обл. Оренбургская, р-н Саракташский, д. Покурлей, ул. Центра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56:26:0000000:99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56:26:1907001:26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с. Черкассы, ул. Луговая, дом 4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ЕЗ 56:26:0000000:25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56:26:1909001:1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Полоса отвода железной дороги Оренбург-Айдырля.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56:26:0000000:415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(78,208)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обл., р-н Саракташский, на земельном участке расположены опоры ВЛ-35 кВ Саракташ-Спасское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56:26:0000000:4964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(2,6,8)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сельсовет, земельный участок расположен в южной части районного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56:26:0000000:4307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(8,11,12)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сельсовет, земельный участок расположен в северо-восточной части районного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56:26:0000000:234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(35,39,40)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с/с Бурунчинский, земельный участок расположен в северной части кадастрового квартала №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56:26:0000000:5118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Черкасский с/с,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56:26:0000000:4906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Оренбургская область, Саракташский </w:t>
            </w:r>
            <w:r>
              <w:rPr>
                <w:rFonts w:ascii="Times New Roman" w:hAnsi="Times New Roman" w:cs="Times New Roman"/>
              </w:rPr>
              <w:t>район, МО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56:26:0000000:3269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(5,12)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Оренбургская обл, р-н Саракташский, </w:t>
            </w:r>
            <w:r>
              <w:rPr>
                <w:rFonts w:ascii="Times New Roman" w:hAnsi="Times New Roman" w:cs="Times New Roman"/>
              </w:rPr>
              <w:lastRenderedPageBreak/>
              <w:t>МО Черкасский сельсовет, земельный участок расположен в центральной части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56:26:0000000:5242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с/с Черкасский,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56:26:0000000:5371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Черкасский,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56:26:1907001:425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обл.Оренбургская,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56:26:1606001:48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«Спасский с/с», земельный участок расположен в юго-западной части кадастрового квартала 56:26:1606001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56:26:1907001:415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«Черкасский с/с», земельный участок расположен в северной части кадастрового квартала 56:26:1907001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56:26:0000000:245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Васильевский, земельный участок расположен в северо-восточной части районного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56:26:0000000:5172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Васильевский, земельный участок расположен в северо-восточной части кадастрового квартала 56:26:0318001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56:26:0000000:5957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Спасский с/с, земельный участок расположен в северо-восточной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56:26:1905001:44(1)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Черкасский с/с, земельный участок расположен в центральной части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56:26:0000000:5265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</w:t>
            </w:r>
            <w:r>
              <w:rPr>
                <w:rFonts w:ascii="Times New Roman" w:hAnsi="Times New Roman" w:cs="Times New Roman"/>
              </w:rPr>
              <w:t>ласть, Саракташский район, МО Васильевский с/с, земельный участок рас</w:t>
            </w:r>
            <w:r>
              <w:rPr>
                <w:rFonts w:ascii="Times New Roman" w:hAnsi="Times New Roman" w:cs="Times New Roman"/>
              </w:rPr>
              <w:lastRenderedPageBreak/>
              <w:t>положен в восточной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56:26:0000000:4249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Спасский сельсовет, земельный участок расположен в северо-восточной части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56:26:0000000:6000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Черкасский с/с,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56:26:0000000:4912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Бурунчинский сельсовет, земельный участок расположен в северо-восточной части кадастрового квартала 56:26:0000000, на земельном участке расположена автомобильная дорога Саракташ - Бурунча - Новомихайловка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:26:0000000:5825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Бурунчинский с/с, земельный участок расположен в северной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56:26:0000000:195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(1,3,7,8,10,11,12,21,25,28)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с/с Спасский, земельный участок расположен в северо-восточной части Саракташского районного кадастрового квартала №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56:26:0000000:5179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(4,5)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Черкасский,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56:26:1907001:416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56:26:0000000:437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обл., р-н Саракташский, земельный участок расположен в восточной части Саракташского районного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56:26:1907001:420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56:26:0000000:4921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Оренбургская область, Саракташский район, МО Спасский сельсовет, земельный </w:t>
            </w:r>
            <w:r>
              <w:rPr>
                <w:rFonts w:ascii="Times New Roman" w:hAnsi="Times New Roman" w:cs="Times New Roman"/>
              </w:rPr>
              <w:t>участок расположен в северо-восточной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56:26:0211001:35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р-н Саракташский, земельный участок расположен в северо-восточной части кадастрового квартала 56:26:0211001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56:26:0000000:6235</w:t>
            </w:r>
          </w:p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(1,2)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м.р-н Саракташский, земельный участок расположен в восточной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56:26:1602001:3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 сельсовет, земельный участок расположен в северо-восточной части кадастрового квартала 56:26:1602001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56:26:0211001:36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Бурунчинский сельсовет, земельный участок расположен в северо-восточной части кадастрового квартала 56:26:0211001, на земельном участке расположена автомобильная дорога Саракташ -Бурунча - Новомихайловка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56:26:1907001:370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 нежилое здание. Участок находится примерно в 8800 м, по направлению на юго-запад от ориентира. Почтовый адрес ориентира: обл. Оренбургская, р</w:t>
            </w:r>
            <w:r>
              <w:rPr>
                <w:rFonts w:ascii="Times New Roman" w:hAnsi="Times New Roman" w:cs="Times New Roman"/>
              </w:rPr>
              <w:t>-н Саракташский, п. Саракташ, ул. Дачная, 42 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56:26:0206001:8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Бурунчинский сельсовет, земельный участок расположен в центральной части кадастрового квартала 56:26:0206001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56:26:0210001:25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Бурунчинский, земельный участок расположен в восточной части кадастрового квартала 56:26:0210001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56:26:0303001:259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сельсовет, с.Татарский Саракташ, земельный участок расположен в юго-восточной части кадастрового квартала 56:26:0303001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56:26:0315001:9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 р-н Саракташский, с/с Васильевский, Оренбургская область, Саракташский район, Васильевский сельсовет, земельный участок расположен в восточной части кадастрового квартала 56:26:0315001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56:26:1905001:46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</w:t>
            </w:r>
            <w:r>
              <w:rPr>
                <w:rFonts w:ascii="Times New Roman" w:hAnsi="Times New Roman" w:cs="Times New Roman"/>
              </w:rPr>
              <w:t>ласть, р-н Саракташский, земельный участок расположен в южной части кадастрового квартала 56:26:1905001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56:26:0316001:2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 р-н Саракташский, Оренбургская область, Саракташский район, в границах Васильевского сельсовета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56:26:0311001:37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обл. Оренбургская, р-н Саракташский, с. Васильевка, ул. Зелёная, 12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56:26:0311001:75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центральной части кадастрового квартала 56:26:0311001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56:26:0311001:94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Васильевский с/с, земельный участок расположен в северо-восточной части кадастрового квартала 56:26:0311001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56:26:0318002:69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56:26:0318002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56:26:1606001:44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Спасский с/с, земельный участок расположен в юго-западной части кадастрового квартала 56:26:1606001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56:26:0309001:55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56:26:0309001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56:26:1603001:2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 сельсовет, земельный участок расположен в южной части кадастрового квартала 56:26:1603001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56:26:1604001:26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 сельсовет, земельный участок расположен в юго-восточной части кадастрового квартала 56:26:1604001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56:26:1605001:50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 сельсовет, 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участок расположен в юго-восточной части кадастрового квартала 56:26:1605001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56:26:1605001:51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Спасский, земельный участок расположен в северной части кадастрового квартала 56:26:1605001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56:26:0000000:5417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Васильевский с/с,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56:26:0206001:7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Бурунчинский, земельный участок расположен в западной части кадастрового квартала 56:26:0206001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56:26:0309001:52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южной части кадастрового квартала 56:26:0309001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56:26:0318002:72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56:26:0318002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56:26:0000000:215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 сельсовет, земельный участок расположен в центральной части кадастрового квартала 56:26:0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56:26:1905001:54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южной части кадастрового квартала 56:26:1905001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56:26:0309001:66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сельсовет, земельный участок расположен в восточной части кадастрового квартала 56:26:0309001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56:26:1606001:45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Спасский с/с, земельный участок расположен в юго-западной части кадастрового квартала 56:26:1606001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56:26:0311001:95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Васильевский с/с, земельный участок расположен в центральной части кадастрового квартала 56:26:0311001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56:26:1604001:24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Спасский, земельный участок расположен в юго-восточной части кадастрового квартала 56:26:1604001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56:26:0316001:46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 р-н Саракташский, Оренбургская область, Саракташский район, МО Васильевский с/с, земельный участок расположен в центральной части кадастрового квартала 56:26:0316001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56:26:0000000:428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сельсовет, на земельном участке расположена автомобильная дорога Каменноозерное-Медногорск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56:26:0211001:250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обл., Саракташский р-н, МО Бурунчинский с/с, земельный участок расположен в юго-восточной части кадастрового квартала 56:26:0211001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56:26:0311001:83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Васильевский, земельный участок расположен в восточной части кадастрового квартала 56:26:0311001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56:26:1905001:47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южной части кадастрового квартала 56:26:1905001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56:26:1907001:423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56:26:1604001:27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Спасский сельсовет, земельный</w:t>
            </w:r>
            <w:r>
              <w:rPr>
                <w:rFonts w:ascii="Times New Roman" w:hAnsi="Times New Roman" w:cs="Times New Roman"/>
              </w:rPr>
              <w:t xml:space="preserve"> участок расположен в юго-восточной части кадастрового квартала 56:26:1604001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56:26:0309001:61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Васильевский сельсовет, земельный участок расположен в южной части кадастрового квартала 56:26:0309001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56:26:0316001:43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 р-н Саракташский, с/с МО Васильевский, Оренбургская обл, р-н Саракташский, с/с МО Васильевский, земельный участок расположен в северной части кадастрового квартала 56:26:0316001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56:26:1904001:102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Черкасский , земельный участок расположен в северной части кадастрового квартала 56:26:1904001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56:26:1905001:48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р-н Саракташский, </w:t>
            </w:r>
            <w:r>
              <w:rPr>
                <w:rFonts w:ascii="Times New Roman" w:hAnsi="Times New Roman" w:cs="Times New Roman"/>
              </w:rPr>
              <w:t>земельный участок расположен в южной части кадастрового квартала 56:26:1905001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56:26:0000000:4971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МО Васильевский сельсовет, земельный участок расположен в центральной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56:26:1904001:108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«Черкасский с/с», земельный участок расположен в центральной части кадастрового квартала 56:26:1904001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56:26:1904001:104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обл, р-н Саракташский, с/с МО Черкасский земельный участок расположен в северной части кадастрового квартала 56:26:1904001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56:26:0000000:5951(1,3)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р-н, с/с Спасский, земельный участок расположен в северо-восточной части кадастрового квартала 56:26:0000000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56:26:0303001:286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с. Татарский Саракташ, земельный участок расположен в южной части кадастрового квартала 56:26:0303001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56:26:0211001:249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Саракташский р-н, МО Бурунчинский с/с, земельный участок расположен в юго-восточной части кадастрового квартала 56:26:0211001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56:26:0210001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Бурунчинский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56:26:0206001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Бурунчинский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56:26:0211001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Бурунчинский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56:26:1605001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Спасский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56:26:1602001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Спасский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56:26:1603001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Оренбургская область, Саракташский </w:t>
            </w:r>
            <w:r>
              <w:rPr>
                <w:rFonts w:ascii="Times New Roman" w:hAnsi="Times New Roman" w:cs="Times New Roman"/>
              </w:rPr>
              <w:lastRenderedPageBreak/>
              <w:t>район, Спасский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56:26:1604001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Спасский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56:26:1606001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Спасский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56:26:0319001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56:26:0309001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56:26:0318002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56:26:0311001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56:26:0316001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56:26:0303001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56:26:0315001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56:26:0316002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Васильевский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56:26:1905001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56:26:1904001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56:26:1910001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56:26:1906001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56:26:1907001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rPr>
          <w:gridAfter w:val="1"/>
          <w:wAfter w:w="4060" w:type="dxa"/>
          <w:trHeight w:val="253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3A214D">
            <w:pPr>
              <w:pStyle w:val="afa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56:26:1902001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Черкасский сельсовет</w:t>
            </w:r>
          </w:p>
        </w:tc>
      </w:tr>
      <w:tr w:rsidR="003A214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1" w:name="sub_2010"/>
            <w:r>
              <w:rPr>
                <w:rFonts w:ascii="Times New Roman" w:hAnsi="Times New Roman" w:cs="Times New Roman"/>
              </w:rPr>
              <w:t>10</w:t>
            </w:r>
            <w:bookmarkEnd w:id="21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у</w:t>
            </w:r>
            <w:r>
              <w:rPr>
                <w:rFonts w:ascii="Times New Roman" w:hAnsi="Times New Roman" w:cs="Times New Roman"/>
              </w:rPr>
              <w:t xml:space="preserve">частка (части) инженерного сооружения, являющегося линейным объектом): </w:t>
            </w:r>
            <w:r>
              <w:rPr>
                <w:rFonts w:ascii="Times New Roman" w:hAnsi="Times New Roman" w:cs="Times New Roman"/>
                <w:u w:val="single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A214D" w:rsidRDefault="003A214D"/>
        </w:tc>
        <w:tc>
          <w:tcPr>
            <w:tcW w:w="4060" w:type="dxa"/>
            <w:tcBorders>
              <w:left w:val="single" w:sz="4" w:space="0" w:color="auto"/>
            </w:tcBorders>
            <w:vAlign w:val="center"/>
          </w:tcPr>
          <w:p w:rsidR="003A214D" w:rsidRDefault="003A21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14D">
        <w:tc>
          <w:tcPr>
            <w:tcW w:w="840" w:type="dxa"/>
            <w:vMerge w:val="restart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2" w:name="sub_2011"/>
            <w:r>
              <w:rPr>
                <w:rFonts w:ascii="Times New Roman" w:hAnsi="Times New Roman" w:cs="Times New Roman"/>
              </w:rPr>
              <w:t>11</w:t>
            </w:r>
            <w:bookmarkEnd w:id="22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способах представления результатов рассмотрения ходатайства:</w:t>
            </w:r>
          </w:p>
        </w:tc>
        <w:tc>
          <w:tcPr>
            <w:tcW w:w="4060" w:type="dxa"/>
            <w:tcBorders>
              <w:left w:val="single" w:sz="4" w:space="0" w:color="auto"/>
            </w:tcBorders>
            <w:vAlign w:val="center"/>
          </w:tcPr>
          <w:p w:rsidR="003A214D" w:rsidRDefault="003A21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да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нет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</w:tr>
      <w:tr w:rsidR="003A214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3" w:name="sub_2012"/>
            <w:r>
              <w:rPr>
                <w:rFonts w:ascii="Times New Roman" w:hAnsi="Times New Roman" w:cs="Times New Roman"/>
              </w:rPr>
              <w:t>12</w:t>
            </w:r>
            <w:bookmarkEnd w:id="23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ходатайству: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местоположения границ публичного сервитута в целях эксп</w:t>
            </w:r>
            <w:r>
              <w:rPr>
                <w:rFonts w:ascii="Times New Roman" w:hAnsi="Times New Roman" w:cs="Times New Roman"/>
              </w:rPr>
              <w:t>луата</w:t>
            </w:r>
            <w:r>
              <w:rPr>
                <w:rFonts w:ascii="Times New Roman" w:hAnsi="Times New Roman" w:cs="Times New Roman"/>
              </w:rPr>
              <w:lastRenderedPageBreak/>
              <w:t xml:space="preserve">ции линейных объектов системы газоснабжения, включающее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</w:t>
            </w:r>
            <w:r>
              <w:rPr>
                <w:rFonts w:ascii="Times New Roman" w:hAnsi="Times New Roman" w:cs="Times New Roman"/>
              </w:rPr>
              <w:t>недвижимости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местоположения границ публичного сервитута в целях эксплуатации линейных объектов системы газоснабжения, включающее графическое описание местоположения границ публичного сервитута и перечень координат характерных точек</w:t>
            </w:r>
            <w:r>
              <w:rPr>
                <w:rFonts w:ascii="Times New Roman" w:hAnsi="Times New Roman" w:cs="Times New Roman"/>
              </w:rPr>
              <w:t xml:space="preserve"> этих границ в системе координат, установленной для ведения Единого государственного реестра недвижимости в виде файла в формате XML, созданного с использованием XML-схем, обеспечивающих считывание и контроль представленных данных .zip архив;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</w:t>
            </w:r>
            <w:r>
              <w:rPr>
                <w:rFonts w:ascii="Times New Roman" w:hAnsi="Times New Roman" w:cs="Times New Roman"/>
              </w:rPr>
              <w:t xml:space="preserve"> записка по определению границ публичного сервитута в целях эксплуатации линейного объекта системы газоснабжения федерального значения «Подземный газопровод-отвод к «КС Саракташская-Исянгулово»» и его неотъемлемых технологических частей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</w:pPr>
            <w:r>
              <w:rPr>
                <w:rFonts w:ascii="Times New Roman" w:hAnsi="Times New Roman" w:cs="Times New Roman"/>
              </w:rPr>
              <w:t>выписки из ЕГРН об объектах недвижимости с кадастровыми номерами 56:26:0000000:4516, 56:26:0000000:1659 - .zip архив;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паспорт на газопровод-отвод к р.ц. Исянгулово, дата обследования объекта учета 14.05.2004 г., изготовленного Филиалом ФГУП «Ро</w:t>
            </w:r>
            <w:r>
              <w:rPr>
                <w:rFonts w:ascii="Times New Roman" w:hAnsi="Times New Roman" w:cs="Times New Roman"/>
              </w:rPr>
              <w:t>стехинвентаризация» по Оренбургской области Орское межрайонное подразделение -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выкопировка из схемы территориального планирования Российской Федерации в области трубопроводного транспорта, утвержденной распоряжением Правительства Российской</w:t>
            </w:r>
            <w:r>
              <w:rPr>
                <w:rFonts w:ascii="Times New Roman" w:hAnsi="Times New Roman" w:cs="Times New Roman"/>
              </w:rPr>
              <w:t xml:space="preserve"> Федерации от 06.05.2015 № 816-р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местоположении оси объекта - в форматах .dwg, .</w:t>
            </w:r>
            <w:r>
              <w:rPr>
                <w:rFonts w:ascii="Times New Roman" w:hAnsi="Times New Roman" w:cs="Times New Roman"/>
                <w:lang w:val="en-US"/>
              </w:rPr>
              <w:t>MID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MIF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каталог координат характерных точек объекта - в формате .xlsx;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границе публичного сервитута - в форматах .dwg, .MID/MIF;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каталог </w:t>
            </w:r>
            <w:r>
              <w:rPr>
                <w:rFonts w:ascii="Times New Roman" w:hAnsi="Times New Roman" w:cs="Times New Roman"/>
              </w:rPr>
              <w:t>координат характерных точек границы публичного сервитута - в формате .xlsx;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отчет о выполнении комплекса топографо-геодезических работ по установлению и утверждению границ охранной зоны газопроводов и охранной зоны объектов внешнего электроснаб</w:t>
            </w:r>
            <w:r>
              <w:rPr>
                <w:rFonts w:ascii="Times New Roman" w:hAnsi="Times New Roman" w:cs="Times New Roman"/>
              </w:rPr>
              <w:t>жения, принадлежащих ОАО «Газпром» и арендуемых ООО «Газпром трансгаз Екатеринбург» на территории Оренбургской области, в границах эксплуатации Оренбургского ЛПУ МГ ООО «Газпром трансгаз Екатеринбург», 2012 год -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отчет о результ</w:t>
            </w:r>
            <w:r>
              <w:rPr>
                <w:rFonts w:ascii="Times New Roman" w:hAnsi="Times New Roman" w:cs="Times New Roman"/>
              </w:rPr>
              <w:t>атах геодезических работ, выполненных в рамках договора №17-22-УКЦ от 25.08.2022 г. в отношении объекта - Подземный газопровод-отвод к «КС Саракташская-Исянгулово» и его неотъемлемых технологических частей, 2023 год - в формате .pdf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земельных учас</w:t>
            </w:r>
            <w:r>
              <w:rPr>
                <w:rFonts w:ascii="Times New Roman" w:hAnsi="Times New Roman" w:cs="Times New Roman"/>
              </w:rPr>
              <w:t>тков, в отношении которых устанавливается публичный сервитут и его границы - в формате .xlsx;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кадастровые планы территорий - .zip архив;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от 28.01.2008 г. №264-ФА -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от 30.03</w:t>
            </w:r>
            <w:r>
              <w:rPr>
                <w:rFonts w:ascii="Times New Roman" w:hAnsi="Times New Roman" w:cs="Times New Roman"/>
              </w:rPr>
              <w:t>.2009 г. №18 (в ред.доп соглашения от 11.05.2012 г. №1)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Управления Росреестра по Оренбургской области от 23.11.2022 года № 11-14578/22@ «О получении документов ГФДЗ» - в формате .pdf;</w:t>
            </w:r>
          </w:p>
          <w:p w:rsidR="003A214D" w:rsidRDefault="00722C91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копия доверенности ПАО «Газпром» от 01.04.2024 № 01/04/04-208д (з</w:t>
            </w:r>
            <w:r>
              <w:rPr>
                <w:rFonts w:ascii="Times New Roman" w:hAnsi="Times New Roman" w:cs="Times New Roman"/>
              </w:rPr>
              <w:t>арегистрировано в реестре № 78/98-н/78-2024-3-2063) - в формате .pdf.</w:t>
            </w:r>
          </w:p>
        </w:tc>
        <w:tc>
          <w:tcPr>
            <w:tcW w:w="4060" w:type="dxa"/>
            <w:tcBorders>
              <w:left w:val="single" w:sz="4" w:space="0" w:color="auto"/>
            </w:tcBorders>
            <w:vAlign w:val="center"/>
          </w:tcPr>
          <w:p w:rsidR="003A214D" w:rsidRDefault="003A21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14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4" w:name="sub_2013"/>
            <w:r>
              <w:rPr>
                <w:rFonts w:ascii="Times New Roman" w:hAnsi="Times New Roman" w:cs="Times New Roman"/>
              </w:rPr>
              <w:lastRenderedPageBreak/>
              <w:t>13</w:t>
            </w:r>
            <w:bookmarkEnd w:id="24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</w:t>
            </w:r>
            <w:r>
              <w:rPr>
                <w:rFonts w:ascii="Times New Roman" w:hAnsi="Times New Roman" w:cs="Times New Roman"/>
              </w:rPr>
              <w:t>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  <w:tc>
          <w:tcPr>
            <w:tcW w:w="4060" w:type="dxa"/>
            <w:tcBorders>
              <w:left w:val="single" w:sz="4" w:space="0" w:color="auto"/>
            </w:tcBorders>
            <w:vAlign w:val="center"/>
          </w:tcPr>
          <w:p w:rsidR="003A214D" w:rsidRDefault="003A21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14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bookmarkStart w:id="25" w:name="sub_2014"/>
            <w:r>
              <w:rPr>
                <w:rFonts w:ascii="Times New Roman" w:hAnsi="Times New Roman" w:cs="Times New Roman"/>
              </w:rPr>
              <w:t>14</w:t>
            </w:r>
            <w:bookmarkEnd w:id="25"/>
          </w:p>
        </w:tc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tooltip="http://garant/document?id=12024624&amp;sub=39410" w:history="1">
              <w:r>
                <w:rPr>
                  <w:rStyle w:val="af3"/>
                  <w:rFonts w:ascii="Times New Roman" w:hAnsi="Times New Roman"/>
                  <w:color w:val="auto"/>
                </w:rPr>
                <w:t>статьей 39.41</w:t>
              </w:r>
            </w:hyperlink>
            <w:r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4060" w:type="dxa"/>
            <w:tcBorders>
              <w:left w:val="single" w:sz="4" w:space="0" w:color="auto"/>
            </w:tcBorders>
            <w:vAlign w:val="center"/>
          </w:tcPr>
          <w:p w:rsidR="003A214D" w:rsidRDefault="003A21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</w:tr>
      <w:tr w:rsidR="003A214D">
        <w:trPr>
          <w:gridAfter w:val="1"/>
          <w:wAfter w:w="406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3A214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( А.С. Харламов)</w:t>
            </w:r>
          </w:p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(инициалы, фамилия)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14D" w:rsidRDefault="00722C9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 _____ г.</w:t>
            </w:r>
          </w:p>
        </w:tc>
      </w:tr>
    </w:tbl>
    <w:p w:rsidR="003A214D" w:rsidRDefault="003A214D">
      <w:pPr>
        <w:ind w:firstLine="0"/>
        <w:rPr>
          <w:rFonts w:ascii="Times New Roman" w:hAnsi="Times New Roman" w:cs="Times New Roman"/>
        </w:rPr>
      </w:pPr>
    </w:p>
    <w:sectPr w:rsidR="003A214D">
      <w:headerReference w:type="default" r:id="rId9"/>
      <w:headerReference w:type="first" r:id="rId10"/>
      <w:pgSz w:w="11900" w:h="16800"/>
      <w:pgMar w:top="851" w:right="799" w:bottom="709" w:left="7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91" w:rsidRDefault="00722C91">
      <w:r>
        <w:separator/>
      </w:r>
    </w:p>
  </w:endnote>
  <w:endnote w:type="continuationSeparator" w:id="0">
    <w:p w:rsidR="00722C91" w:rsidRDefault="0072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91" w:rsidRDefault="00722C91">
      <w:r>
        <w:separator/>
      </w:r>
    </w:p>
  </w:footnote>
  <w:footnote w:type="continuationSeparator" w:id="0">
    <w:p w:rsidR="00722C91" w:rsidRDefault="0072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4D" w:rsidRDefault="003A214D">
    <w:pPr>
      <w:pStyle w:val="afd"/>
    </w:pPr>
  </w:p>
  <w:p w:rsidR="003A214D" w:rsidRDefault="003A214D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4D" w:rsidRDefault="00722C91">
    <w:pPr>
      <w:pStyle w:val="afd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к письму ПАО «Газпром»</w:t>
    </w:r>
  </w:p>
  <w:p w:rsidR="003A214D" w:rsidRDefault="00722C91">
    <w:pPr>
      <w:pStyle w:val="afd"/>
    </w:pPr>
    <w:r>
      <w:rPr>
        <w:rFonts w:ascii="Times New Roman" w:hAnsi="Times New Roman" w:cs="Times New Roman"/>
      </w:rPr>
      <w:t xml:space="preserve">                                        от «___» ______________ №</w:t>
    </w:r>
    <w:r>
      <w:t xml:space="preserve"> _______</w:t>
    </w:r>
  </w:p>
  <w:p w:rsidR="003A214D" w:rsidRDefault="003A214D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0282"/>
    <w:multiLevelType w:val="hybridMultilevel"/>
    <w:tmpl w:val="BE3ED11C"/>
    <w:lvl w:ilvl="0" w:tplc="D43C9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3C886C">
      <w:start w:val="1"/>
      <w:numFmt w:val="decimal"/>
      <w:lvlText w:val=""/>
      <w:lvlJc w:val="left"/>
      <w:rPr>
        <w:rFonts w:cs="Times New Roman"/>
      </w:rPr>
    </w:lvl>
    <w:lvl w:ilvl="2" w:tplc="076401EE">
      <w:start w:val="1"/>
      <w:numFmt w:val="decimal"/>
      <w:lvlText w:val=""/>
      <w:lvlJc w:val="left"/>
      <w:rPr>
        <w:rFonts w:cs="Times New Roman"/>
      </w:rPr>
    </w:lvl>
    <w:lvl w:ilvl="3" w:tplc="69BA681E">
      <w:start w:val="1"/>
      <w:numFmt w:val="decimal"/>
      <w:lvlText w:val=""/>
      <w:lvlJc w:val="left"/>
      <w:rPr>
        <w:rFonts w:cs="Times New Roman"/>
      </w:rPr>
    </w:lvl>
    <w:lvl w:ilvl="4" w:tplc="AFEEF1EE">
      <w:start w:val="1"/>
      <w:numFmt w:val="decimal"/>
      <w:lvlText w:val=""/>
      <w:lvlJc w:val="left"/>
      <w:rPr>
        <w:rFonts w:cs="Times New Roman"/>
      </w:rPr>
    </w:lvl>
    <w:lvl w:ilvl="5" w:tplc="C92A0438">
      <w:start w:val="1"/>
      <w:numFmt w:val="decimal"/>
      <w:lvlText w:val=""/>
      <w:lvlJc w:val="left"/>
      <w:rPr>
        <w:rFonts w:cs="Times New Roman"/>
      </w:rPr>
    </w:lvl>
    <w:lvl w:ilvl="6" w:tplc="2A2E6C7E">
      <w:start w:val="1"/>
      <w:numFmt w:val="decimal"/>
      <w:lvlText w:val=""/>
      <w:lvlJc w:val="left"/>
      <w:rPr>
        <w:rFonts w:cs="Times New Roman"/>
      </w:rPr>
    </w:lvl>
    <w:lvl w:ilvl="7" w:tplc="820809F2">
      <w:start w:val="1"/>
      <w:numFmt w:val="decimal"/>
      <w:lvlText w:val=""/>
      <w:lvlJc w:val="left"/>
      <w:rPr>
        <w:rFonts w:cs="Times New Roman"/>
      </w:rPr>
    </w:lvl>
    <w:lvl w:ilvl="8" w:tplc="C7FA5D56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20DE199D"/>
    <w:multiLevelType w:val="hybridMultilevel"/>
    <w:tmpl w:val="8D94FEEE"/>
    <w:lvl w:ilvl="0" w:tplc="A592766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D08C1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3E71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486B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D6D3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D20C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0F7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2E24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DE09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D15806"/>
    <w:multiLevelType w:val="hybridMultilevel"/>
    <w:tmpl w:val="33BACE08"/>
    <w:lvl w:ilvl="0" w:tplc="983014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D9C6E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143A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FAA9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0AF3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E62F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7CD1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8C35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E660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911CAE"/>
    <w:multiLevelType w:val="multilevel"/>
    <w:tmpl w:val="461C1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297646"/>
    <w:multiLevelType w:val="hybridMultilevel"/>
    <w:tmpl w:val="601EB51E"/>
    <w:lvl w:ilvl="0" w:tplc="C9F2FE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F0C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BAF5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0633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7E5D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24A4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B033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F0B5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4AD3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04096A"/>
    <w:multiLevelType w:val="hybridMultilevel"/>
    <w:tmpl w:val="BFA475A6"/>
    <w:lvl w:ilvl="0" w:tplc="C0DC61CA">
      <w:start w:val="1"/>
      <w:numFmt w:val="decimal"/>
      <w:lvlText w:val="%1."/>
      <w:lvlJc w:val="left"/>
      <w:pPr>
        <w:ind w:left="777" w:hanging="360"/>
      </w:pPr>
      <w:rPr>
        <w:sz w:val="24"/>
      </w:rPr>
    </w:lvl>
    <w:lvl w:ilvl="1" w:tplc="E89E8060">
      <w:start w:val="1"/>
      <w:numFmt w:val="lowerLetter"/>
      <w:lvlText w:val="%2."/>
      <w:lvlJc w:val="left"/>
      <w:pPr>
        <w:ind w:left="1497" w:hanging="360"/>
      </w:pPr>
    </w:lvl>
    <w:lvl w:ilvl="2" w:tplc="8042F646">
      <w:start w:val="1"/>
      <w:numFmt w:val="lowerRoman"/>
      <w:lvlText w:val="%3."/>
      <w:lvlJc w:val="right"/>
      <w:pPr>
        <w:ind w:left="2217" w:hanging="180"/>
      </w:pPr>
    </w:lvl>
    <w:lvl w:ilvl="3" w:tplc="A1CE06AA">
      <w:start w:val="1"/>
      <w:numFmt w:val="decimal"/>
      <w:lvlText w:val="%4."/>
      <w:lvlJc w:val="left"/>
      <w:pPr>
        <w:ind w:left="2937" w:hanging="360"/>
      </w:pPr>
    </w:lvl>
    <w:lvl w:ilvl="4" w:tplc="19D67CE0">
      <w:start w:val="1"/>
      <w:numFmt w:val="lowerLetter"/>
      <w:lvlText w:val="%5."/>
      <w:lvlJc w:val="left"/>
      <w:pPr>
        <w:ind w:left="3657" w:hanging="360"/>
      </w:pPr>
    </w:lvl>
    <w:lvl w:ilvl="5" w:tplc="374CD10C">
      <w:start w:val="1"/>
      <w:numFmt w:val="lowerRoman"/>
      <w:lvlText w:val="%6."/>
      <w:lvlJc w:val="right"/>
      <w:pPr>
        <w:ind w:left="4377" w:hanging="180"/>
      </w:pPr>
    </w:lvl>
    <w:lvl w:ilvl="6" w:tplc="2FC645E8">
      <w:start w:val="1"/>
      <w:numFmt w:val="decimal"/>
      <w:lvlText w:val="%7."/>
      <w:lvlJc w:val="left"/>
      <w:pPr>
        <w:ind w:left="5097" w:hanging="360"/>
      </w:pPr>
    </w:lvl>
    <w:lvl w:ilvl="7" w:tplc="46D6176A">
      <w:start w:val="1"/>
      <w:numFmt w:val="lowerLetter"/>
      <w:lvlText w:val="%8."/>
      <w:lvlJc w:val="left"/>
      <w:pPr>
        <w:ind w:left="5817" w:hanging="360"/>
      </w:pPr>
    </w:lvl>
    <w:lvl w:ilvl="8" w:tplc="AABC5796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65A83D16"/>
    <w:multiLevelType w:val="hybridMultilevel"/>
    <w:tmpl w:val="7194CB2A"/>
    <w:lvl w:ilvl="0" w:tplc="BB0E7B78">
      <w:start w:val="1"/>
      <w:numFmt w:val="decimal"/>
      <w:lvlText w:val="%1."/>
      <w:lvlJc w:val="left"/>
      <w:rPr>
        <w:rFonts w:cs="Times New Roman" w:hint="default"/>
      </w:rPr>
    </w:lvl>
    <w:lvl w:ilvl="1" w:tplc="354C14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0A0F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8052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EC86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F8F0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825F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3AA9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088F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0C686B"/>
    <w:multiLevelType w:val="hybridMultilevel"/>
    <w:tmpl w:val="455AE9B0"/>
    <w:lvl w:ilvl="0" w:tplc="86888F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568DF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840E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7E17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3A16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5A81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C0D2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24F5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5A8A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2A37D7"/>
    <w:multiLevelType w:val="hybridMultilevel"/>
    <w:tmpl w:val="C2FCB1F4"/>
    <w:lvl w:ilvl="0" w:tplc="897498DC">
      <w:start w:val="1"/>
      <w:numFmt w:val="decimal"/>
      <w:lvlText w:val="%1."/>
      <w:lvlJc w:val="left"/>
      <w:rPr>
        <w:rFonts w:cs="Times New Roman" w:hint="default"/>
      </w:rPr>
    </w:lvl>
    <w:lvl w:ilvl="1" w:tplc="D5468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8CCE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074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7828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240F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3851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D08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98A2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4D"/>
    <w:rsid w:val="003A214D"/>
    <w:rsid w:val="00722C91"/>
    <w:rsid w:val="00F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66FD4-E674-4117-9BBF-8BCEC1D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af2">
    <w:name w:val="Цветовое выделение"/>
    <w:uiPriority w:val="99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6">
    <w:name w:val="Цветовое выделение для Текст"/>
    <w:uiPriority w:val="99"/>
    <w:rPr>
      <w:sz w:val="26"/>
    </w:rPr>
  </w:style>
  <w:style w:type="character" w:styleId="af7">
    <w:name w:val="Hyperlink"/>
    <w:basedOn w:val="a0"/>
    <w:uiPriority w:val="99"/>
    <w:semiHidden/>
    <w:unhideWhenUsed/>
    <w:rPr>
      <w:rFonts w:cs="Times New Roman"/>
      <w:color w:val="1B86C0"/>
      <w:sz w:val="24"/>
      <w:u w:val="non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afb">
    <w:name w:val="Title"/>
    <w:basedOn w:val="a"/>
    <w:link w:val="afc"/>
    <w:uiPriority w:val="10"/>
    <w:qFormat/>
    <w:pPr>
      <w:widowControl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Название Знак"/>
    <w:basedOn w:val="a0"/>
    <w:link w:val="afb"/>
    <w:uiPriority w:val="10"/>
    <w:rPr>
      <w:rFonts w:ascii="Times New Roman" w:hAnsi="Times New Roman" w:cs="Times New Roman"/>
      <w:sz w:val="28"/>
      <w:szCs w:val="28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Arial" w:hAnsi="Arial" w:cs="Arial"/>
      <w:sz w:val="26"/>
      <w:szCs w:val="26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/document?id=12024624&amp;sub=394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zprom@gazpr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5470</Words>
  <Characters>31185</Characters>
  <Application>Microsoft Office Word</Application>
  <DocSecurity>0</DocSecurity>
  <Lines>259</Lines>
  <Paragraphs>73</Paragraphs>
  <ScaleCrop>false</ScaleCrop>
  <Company>НПП "Гарант-Сервис"</Company>
  <LinksUpToDate>false</LinksUpToDate>
  <CharactersWithSpaces>36582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Пользователь Windows</cp:lastModifiedBy>
  <cp:revision>2</cp:revision>
  <dcterms:created xsi:type="dcterms:W3CDTF">2026-05-22T04:39:00Z</dcterms:created>
  <dcterms:modified xsi:type="dcterms:W3CDTF">2026-05-22T04:39:00Z</dcterms:modified>
</cp:coreProperties>
</file>