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C04BDA">
        <w:trPr>
          <w:trHeight w:val="961"/>
          <w:jc w:val="center"/>
        </w:trPr>
        <w:tc>
          <w:tcPr>
            <w:tcW w:w="3321" w:type="dxa"/>
          </w:tcPr>
          <w:p w:rsidR="00C04BDA" w:rsidRDefault="00C04BDA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C04BDA" w:rsidRDefault="007200A5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76250" cy="447675"/>
                  <wp:effectExtent l="0" t="0" r="0" b="0"/>
                  <wp:docPr id="1" name="Рисунок 1" descr="va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va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04BDA" w:rsidRDefault="00C04BDA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C04BDA" w:rsidRDefault="00C04BDA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C04BDA" w:rsidRDefault="007200A5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АДМИНИСТРАЦИЯ ВАСИЛЬЕВСКОГО СЕЛЬСОВЕТА САРАКТАШСКОГО РАЙОНА  ОРЕНБУРГСКОЙ ОБЛАСТИ</w:t>
      </w:r>
    </w:p>
    <w:p w:rsidR="00C04BDA" w:rsidRDefault="007200A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C04BDA" w:rsidRDefault="007200A5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C04BDA" w:rsidRDefault="00C04BDA">
      <w:pPr>
        <w:spacing w:after="0" w:line="240" w:lineRule="auto"/>
        <w:ind w:right="283"/>
        <w:rPr>
          <w:rFonts w:ascii="Calibri" w:hAnsi="Calibri" w:cs="Times New Roman"/>
        </w:rPr>
      </w:pPr>
    </w:p>
    <w:p w:rsidR="00C04BDA" w:rsidRDefault="007200A5">
      <w:pPr>
        <w:spacing w:after="0" w:line="240" w:lineRule="auto"/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4BDA" w:rsidRDefault="00C04BDA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</w:p>
    <w:p w:rsidR="00C04BDA" w:rsidRDefault="007200A5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Васильевка</w:t>
      </w:r>
    </w:p>
    <w:p w:rsidR="00C04BDA" w:rsidRDefault="00C04BDA"/>
    <w:p w:rsidR="00C04BDA" w:rsidRDefault="007200A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типового соглашения о передаче муниципальному образованию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отдельных полномочий по градостроительной деятельности от муниципального образования Васильевский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и методики расчета ежегодного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объема иных межбюджетных трансфертов, предоставляемых из бюджета муниципального образования Васильевский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бюджету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</w:t>
      </w:r>
    </w:p>
    <w:p w:rsidR="00C04BDA" w:rsidRDefault="00C04BD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исполнение положен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части 4 статьи 15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Васильевский 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</w:t>
      </w:r>
      <w:r>
        <w:rPr>
          <w:rFonts w:ascii="Times New Roman" w:eastAsia="Times New Roman" w:hAnsi="Times New Roman" w:cs="Times New Roman"/>
          <w:sz w:val="28"/>
          <w:szCs w:val="28"/>
        </w:rPr>
        <w:t>гской области:</w:t>
      </w:r>
    </w:p>
    <w:p w:rsidR="00C04BDA" w:rsidRDefault="007200A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1.Утвердить типовое соглашение о передаче муниципальному образованию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отдельных полномочий по градостроительной деятельности от муниципального образования Васильевский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и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етодики расчета ежегодного объема иных межбюджетных трансфертов, предоставляемых из бюджета муниципального образования Васильевский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бюджету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</w:t>
      </w:r>
      <w:r>
        <w:rPr>
          <w:rFonts w:ascii="Times New Roman" w:eastAsia="Times New Roman" w:hAnsi="Times New Roman" w:cs="Times New Roman"/>
          <w:sz w:val="28"/>
          <w:szCs w:val="28"/>
        </w:rPr>
        <w:t>ти.</w:t>
      </w:r>
    </w:p>
    <w:p w:rsidR="00C04BDA" w:rsidRDefault="007200A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 вступает в силу со дня его подписания и подлежит размещению на официальном сайте администрации Васильевского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Оренбургской области.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за собой.</w:t>
      </w:r>
    </w:p>
    <w:p w:rsidR="00C04BDA" w:rsidRDefault="00C04BDA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pStyle w:val="a6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                         В.Н. Тихонов</w:t>
      </w:r>
    </w:p>
    <w:p w:rsidR="00C04BDA" w:rsidRDefault="00C04B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Разослано: администрации района, прокуратуре, в дело, на сайт</w:t>
      </w:r>
    </w:p>
    <w:p w:rsidR="00C04BDA" w:rsidRDefault="00C04BDA">
      <w:pPr>
        <w:spacing w:after="0" w:line="240" w:lineRule="auto"/>
        <w:ind w:firstLine="1560"/>
        <w:jc w:val="right"/>
        <w:rPr>
          <w:rFonts w:ascii="Tahoma" w:eastAsia="Times New Roman" w:hAnsi="Tahoma" w:cs="Tahoma"/>
          <w:kern w:val="2"/>
          <w:sz w:val="16"/>
          <w:szCs w:val="16"/>
        </w:rPr>
      </w:pPr>
    </w:p>
    <w:p w:rsidR="00C04BDA" w:rsidRDefault="00C04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C04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C04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C04BDA" w:rsidRDefault="00720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C04BDA" w:rsidRDefault="00720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04BDA" w:rsidRDefault="00720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</w:p>
    <w:p w:rsidR="00C04BDA" w:rsidRDefault="007200A5">
      <w:pPr>
        <w:spacing w:after="0" w:line="240" w:lineRule="auto"/>
        <w:ind w:firstLine="1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14.01.2026 № 2-п</w:t>
      </w:r>
    </w:p>
    <w:p w:rsidR="00C04BDA" w:rsidRDefault="00C04B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СОГЛАШЕНИЕ</w:t>
      </w: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между органами местного самоуправления муниципального образования 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</w:t>
      </w:r>
      <w:r>
        <w:rPr>
          <w:rFonts w:ascii="Times New Roman" w:eastAsia="Times New Roman" w:hAnsi="Times New Roman" w:cs="Times New Roman"/>
          <w:sz w:val="28"/>
          <w:szCs w:val="28"/>
        </w:rPr>
        <w:t>ргской области о передаче осуществления части полномочий администрации ______________________ по градостроительной деятельности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«__» _______ 202_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именуемая в дальнейшем «Администрация сельского поселения», в лице главы муниципального образования 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_________________, действующего на основании __________________________________, решения Совета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путатов муниципального образования 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№_____ от _________ г. с одной стороны, и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области, именуемая в дальнейшем «Администра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ция района», в лице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 ______________, действующего на основании Устава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области, с другой стороны, вместе именуемые «Стороны», </w:t>
      </w:r>
      <w:r>
        <w:rPr>
          <w:rFonts w:ascii="Times New Roman" w:eastAsia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Предмет соглашения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Предметом соглашения является передача осуществления ______________________ администрации района части своих полномочий, определенных пунктом 1.2. настоящего соглашения, в соответ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ствии с пунктом 4 статьи 15 Федерального закона от 06.10.2003 № 131-ФЗ «Об общих принципах организации местного самоуправления в Российской Федерации», статьи 8 Градостроительного кодекса Российской Федерации от 29.12.2004 № 190-ФЗ, Уставом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______________сельсовета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________ № _____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передаче части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полномочий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 администрации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 на 20__ год»,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 № _________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принятии части полномочий от администраций муниципальных образований сельских поселений райо</w:t>
      </w:r>
      <w:r>
        <w:rPr>
          <w:rFonts w:ascii="Times New Roman" w:eastAsia="Times New Roman" w:hAnsi="Times New Roman" w:cs="Times New Roman"/>
          <w:sz w:val="28"/>
          <w:szCs w:val="28"/>
        </w:rPr>
        <w:t>на по осуществлению градостроительной деятельности на 20__ год».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Администрация ________________ передает, а Администрация района принимает полномочия по градостроительной деятельности, а именно: 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1.2.1. Выдача разрешений на строительство, реконструкци</w:t>
      </w:r>
      <w:r>
        <w:rPr>
          <w:rFonts w:ascii="Times New Roman" w:eastAsia="Times New Roman" w:hAnsi="Times New Roman" w:cs="Times New Roman"/>
          <w:sz w:val="28"/>
          <w:szCs w:val="28"/>
        </w:rPr>
        <w:t>ю объектов капитального строительства, расположенных на территории поселения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1.2.2.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04BDA" w:rsidRDefault="00720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Выдача уведомлений о соответствии указанных в уведомлении о планируемых </w:t>
      </w:r>
      <w:r>
        <w:rPr>
          <w:rFonts w:ascii="Times New Roman" w:eastAsia="Times New Roman" w:hAnsi="Times New Roman" w:cs="Times New Roman"/>
          <w:sz w:val="28"/>
          <w:szCs w:val="28"/>
        </w:rPr>
        <w:t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</w:t>
      </w:r>
      <w:r>
        <w:rPr>
          <w:rFonts w:ascii="Times New Roman" w:eastAsia="Times New Roman" w:hAnsi="Times New Roman" w:cs="Times New Roman"/>
          <w:sz w:val="28"/>
          <w:szCs w:val="28"/>
        </w:rPr>
        <w:t>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параметров объекта индивидуального жилищн</w:t>
      </w:r>
      <w:r>
        <w:rPr>
          <w:rFonts w:ascii="Times New Roman" w:eastAsia="Times New Roman" w:hAnsi="Times New Roman" w:cs="Times New Roman"/>
          <w:sz w:val="28"/>
          <w:szCs w:val="28"/>
        </w:rPr>
        <w:t>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1.2.5. Разработка и утверждение программ комплексного развития систем коммунально</w:t>
      </w:r>
      <w:r>
        <w:rPr>
          <w:rFonts w:ascii="Times New Roman" w:eastAsia="Times New Roman" w:hAnsi="Times New Roman" w:cs="Times New Roman"/>
          <w:sz w:val="28"/>
          <w:szCs w:val="28"/>
        </w:rPr>
        <w:t>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поселения.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Порядок осуществления части полномочий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Полномочия осуществляются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Гражданским кодексом Российской Федерации, Законодательством Российской Федерации, Законодательством Оренбургской области, муниципальными правовыми актами.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Порядок определения ежегодного объема межбюджетных трансфертов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Передача осуществления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асти полномочий по предмету настоящего Соглашения осуществляется за счёт иных межбюджетных трансфертов, предоставляемых ежегодно из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____________сельсовета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бюджет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Сторо</w:t>
      </w:r>
      <w:r>
        <w:rPr>
          <w:rFonts w:ascii="Times New Roman" w:eastAsia="Times New Roman" w:hAnsi="Times New Roman" w:cs="Times New Roman"/>
          <w:sz w:val="28"/>
          <w:szCs w:val="28"/>
        </w:rPr>
        <w:t>ны ежегодно определяют объем межбюджетных трансфертов, необходимых для осуществления передаваемых полномочий, согласно приложениям, являющимся неотъемлемой частью настоящего Соглашения. Размер межбюджетных трансфертов определён в приложении № 1 к настоящем</w:t>
      </w:r>
      <w:r>
        <w:rPr>
          <w:rFonts w:ascii="Times New Roman" w:eastAsia="Times New Roman" w:hAnsi="Times New Roman" w:cs="Times New Roman"/>
          <w:sz w:val="28"/>
          <w:szCs w:val="28"/>
        </w:rPr>
        <w:t>у соглашению, которые перечисляются Администрацией сельсовета по заявке Администрации района согласно приложению № 2 к настоящему Соглашению, в срок не позднее 10 календарных дней с момента получения заявки.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Формирование, перечисление и учёт иных межб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юджетных трансфертов, предоставляемых из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__________сельсовет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бюджету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на реализацию полномочий, передаваемых по настоящему Соглашению, осуществляется в соответствии с бюджетным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 Размер финансового обеспечения определяется с помощью Методики расчета ежегодного объема иных межбюджетных трансфертов, предоставляемых из бюджета администрации сельского поселения бюджету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на осуществление части полномочий сельских поселения в области градостроительной деятельности (Приложение 3).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Права и обязанности сторон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Администрация сельсовета: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4.1.1. Перечисляет Администрации района финансовые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иных межбюджетных трансфертов, предназначенных для исполнения переданных по настоящему Соглашению полномочий, в размере и порядке, установленных разделом 3 настоящего Соглашения.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4.1.2. Осуществляет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Администрацией района пер</w:t>
      </w:r>
      <w:r>
        <w:rPr>
          <w:rFonts w:ascii="Times New Roman" w:eastAsia="Times New Roman" w:hAnsi="Times New Roman" w:cs="Times New Roman"/>
          <w:sz w:val="28"/>
          <w:szCs w:val="28"/>
        </w:rPr>
        <w:t>еданных ей полномочий, а также за целевым использованием финансовых средств, предоставленных на эти цели.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Администрация района: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4.2.1. Осуществляет переданные ей Администрацией сельсовета полномочия в соответствии с пунктом 1.2. настоящего Соглашения </w:t>
      </w:r>
      <w:r>
        <w:rPr>
          <w:rFonts w:ascii="Times New Roman" w:eastAsia="Times New Roman" w:hAnsi="Times New Roman" w:cs="Times New Roman"/>
          <w:sz w:val="28"/>
          <w:szCs w:val="28"/>
        </w:rPr>
        <w:t>и действующим законодательством в пределах, выделенных на эти цели финансовых средств.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4.3. В случае невозможности надлежащего исполнения переданных полномочий Администрация района сообщает об этом в письменной форме Администрацию сельсовета.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Ответственность сторон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иных перечислен</w:t>
      </w:r>
      <w:r>
        <w:rPr>
          <w:rFonts w:ascii="Times New Roman" w:eastAsia="Times New Roman" w:hAnsi="Times New Roman" w:cs="Times New Roman"/>
          <w:sz w:val="28"/>
          <w:szCs w:val="28"/>
        </w:rPr>
        <w:t>ных межбюджетных трансфертов, за вычетом фактических расходов, подтвержденных документально.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>
        <w:rPr>
          <w:rFonts w:ascii="Times New Roman" w:eastAsia="Times New Roman" w:hAnsi="Times New Roman" w:cs="Times New Roman"/>
          <w:sz w:val="28"/>
          <w:szCs w:val="28"/>
        </w:rPr>
        <w:t>. В случае неисполнения Администрацией сельсовета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Соглашения.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Сро</w:t>
      </w:r>
      <w:r>
        <w:rPr>
          <w:rFonts w:ascii="Times New Roman" w:eastAsia="Times New Roman" w:hAnsi="Times New Roman" w:cs="Times New Roman"/>
          <w:sz w:val="28"/>
          <w:szCs w:val="28"/>
        </w:rPr>
        <w:t>к действия, основания и порядок прекращения</w:t>
      </w: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соглашения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Срок действия настоящего Соглашения устанавливается с 01 января 20__ года до 31 декабря 20__ года.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Действие настоящего Соглашения может быть прекращено досрочно: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6.2.1. По </w:t>
      </w:r>
      <w:r>
        <w:rPr>
          <w:rFonts w:ascii="Times New Roman" w:eastAsia="Times New Roman" w:hAnsi="Times New Roman" w:cs="Times New Roman"/>
          <w:sz w:val="28"/>
          <w:szCs w:val="28"/>
        </w:rPr>
        <w:t>соглашению сторон.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6.2.2. В одностороннем порядке в случае: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изменения действующего законодательства Российской Федерации и (или) законодательства Оренбургской области;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неисполнения или ненадлежащего исполнения одной из сторон своих обязательств в соотв</w:t>
      </w:r>
      <w:r>
        <w:rPr>
          <w:rFonts w:ascii="Times New Roman" w:eastAsia="Times New Roman" w:hAnsi="Times New Roman" w:cs="Times New Roman"/>
          <w:sz w:val="28"/>
          <w:szCs w:val="28"/>
        </w:rPr>
        <w:t>етствии с настоящим Соглашением;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сельсовета самостоятельно.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Уведомление о расторжении насто</w:t>
      </w:r>
      <w:r>
        <w:rPr>
          <w:rFonts w:ascii="Times New Roman" w:eastAsia="Times New Roman" w:hAnsi="Times New Roman" w:cs="Times New Roman"/>
          <w:sz w:val="28"/>
          <w:szCs w:val="28"/>
        </w:rPr>
        <w:t>ящего Соглашения в одностороннем порядке направляется второй стороне не менее чем за 30 дней.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По вопросам, не урегулированным настоящим соглашением, стороны руководствуются действующим законодательством Российской Федерации.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Настоящее соглашение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составлено в двух экземплярах, имеющих равную юридическую силу, для каждой из сторон.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6.6. Внесение изменений и дополнений в настоящее Соглашение осуществляется путем подписания сторонами дополнительных соглашений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6.7. Настоящее соглашение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Реквизиты и подписи Сторон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4BDA" w:rsidRDefault="007200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Глава МО _______________________</w:t>
      </w:r>
    </w:p>
    <w:p w:rsidR="00C04BDA" w:rsidRDefault="00C04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____________/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____________/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</w:t>
      </w:r>
    </w:p>
    <w:p w:rsidR="00C04BDA" w:rsidRDefault="007200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(подпись)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(расшифровка подписи)                                                       (подпись)                       (расшифровка подписи)</w:t>
      </w:r>
    </w:p>
    <w:p w:rsidR="00C04BDA" w:rsidRDefault="00C04B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                                                                       М.П.</w:t>
      </w:r>
    </w:p>
    <w:p w:rsidR="00C04BDA" w:rsidRDefault="00C04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C04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C04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04BDA" w:rsidRDefault="00720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 к согл</w:t>
      </w:r>
      <w:r>
        <w:rPr>
          <w:rFonts w:ascii="Times New Roman" w:eastAsia="Times New Roman" w:hAnsi="Times New Roman" w:cs="Times New Roman"/>
          <w:sz w:val="28"/>
          <w:szCs w:val="28"/>
        </w:rPr>
        <w:t>ашению</w:t>
      </w:r>
    </w:p>
    <w:p w:rsidR="00C04BDA" w:rsidRDefault="007200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___________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Объём межбюджетных трансфертов на использование части полномочий по градостроительной деятельности МО «_____________________»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0" w:type="dxa"/>
        <w:tblInd w:w="113" w:type="dxa"/>
        <w:tblLayout w:type="fixed"/>
        <w:tblLook w:val="04A0"/>
      </w:tblPr>
      <w:tblGrid>
        <w:gridCol w:w="958"/>
        <w:gridCol w:w="4252"/>
        <w:gridCol w:w="4360"/>
      </w:tblGrid>
      <w:tr w:rsidR="00C04BD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720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</w:t>
            </w:r>
          </w:p>
          <w:p w:rsidR="00C04BDA" w:rsidRDefault="00720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7200A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7200A5">
            <w:pPr>
              <w:widowControl w:val="0"/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Объём иных межбюджетных трансфертов, предусмотренных к предоставлению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</w:t>
            </w:r>
          </w:p>
        </w:tc>
      </w:tr>
      <w:tr w:rsidR="00C04BD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720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7200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части полномочий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__________сельсовета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градостроительной деятельности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C04BD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BD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7200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C04BD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C04BD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Глава МО _______________________</w:t>
      </w:r>
    </w:p>
    <w:p w:rsidR="00C04BDA" w:rsidRDefault="00C04B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04BDA" w:rsidRDefault="007200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/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_____________/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____________/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________________/</w:t>
      </w:r>
    </w:p>
    <w:p w:rsidR="00C04BDA" w:rsidRDefault="007200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(подпись)                                              (расшифровка подписи)                          (подпись)                             (расшифровка подписи)</w:t>
      </w:r>
    </w:p>
    <w:p w:rsidR="00C04BDA" w:rsidRDefault="00C04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4BDA" w:rsidRDefault="00C04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М.П.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М.П.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04BDA" w:rsidRDefault="007200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 к соглашению</w:t>
      </w:r>
    </w:p>
    <w:p w:rsidR="00C04BDA" w:rsidRDefault="007200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______________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C0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перечисление средств</w:t>
      </w:r>
    </w:p>
    <w:p w:rsidR="00C04BDA" w:rsidRDefault="00720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C04BDA" w:rsidRDefault="00C04B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0206" w:type="dxa"/>
        <w:tblInd w:w="-459" w:type="dxa"/>
        <w:tblLayout w:type="fixed"/>
        <w:tblLook w:val="04A0"/>
      </w:tblPr>
      <w:tblGrid>
        <w:gridCol w:w="4394"/>
        <w:gridCol w:w="2126"/>
        <w:gridCol w:w="3686"/>
      </w:tblGrid>
      <w:tr w:rsidR="00C04BDA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7200A5">
            <w:pPr>
              <w:widowControl w:val="0"/>
              <w:tabs>
                <w:tab w:val="left" w:pos="70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7200A5">
            <w:pPr>
              <w:widowControl w:val="0"/>
              <w:tabs>
                <w:tab w:val="left" w:pos="7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7200A5">
            <w:pPr>
              <w:widowControl w:val="0"/>
              <w:tabs>
                <w:tab w:val="left" w:pos="70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- основания</w:t>
            </w:r>
          </w:p>
        </w:tc>
      </w:tr>
      <w:tr w:rsidR="00C04BDA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7200A5">
            <w:pPr>
              <w:widowControl w:val="0"/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части полномочий администрации _________________ сельсовета по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C04BDA">
            <w:pPr>
              <w:widowControl w:val="0"/>
              <w:tabs>
                <w:tab w:val="left" w:pos="7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DA" w:rsidRDefault="007200A5">
            <w:pPr>
              <w:widowControl w:val="0"/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Совета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Оренбургской области №___ от ____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04BDA" w:rsidRDefault="00C04BDA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C04BDA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tabs>
          <w:tab w:val="left" w:pos="7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 /_____________/</w:t>
      </w:r>
    </w:p>
    <w:p w:rsidR="00C04BDA" w:rsidRDefault="007200A5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C04BDA" w:rsidRDefault="00C04BDA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BDA" w:rsidRDefault="00C04BDA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BDA" w:rsidRDefault="00C04BDA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Исполнитель: Главный архитектор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/</w:t>
      </w:r>
    </w:p>
    <w:p w:rsidR="00C04BDA" w:rsidRDefault="007200A5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_______________/ тел. _____________</w:t>
      </w:r>
    </w:p>
    <w:p w:rsidR="00C04BDA" w:rsidRDefault="007200A5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(должность, Ф.И.О., телефон)</w:t>
      </w:r>
    </w:p>
    <w:p w:rsidR="00C04BDA" w:rsidRDefault="00C04BDA">
      <w:pPr>
        <w:tabs>
          <w:tab w:val="left" w:pos="3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BDA" w:rsidRDefault="007200A5">
      <w:pPr>
        <w:tabs>
          <w:tab w:val="left" w:pos="3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Дата_______________</w:t>
      </w:r>
    </w:p>
    <w:p w:rsidR="00C04BDA" w:rsidRDefault="00720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04BDA" w:rsidRDefault="007200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 к соглашению</w:t>
      </w:r>
    </w:p>
    <w:p w:rsidR="00C04BDA" w:rsidRDefault="007200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______________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BDA" w:rsidRDefault="00C04B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Методика</w:t>
      </w:r>
    </w:p>
    <w:p w:rsidR="00C04BDA" w:rsidRDefault="0072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расчета ежегодного объема иных межбюджетных трансфертов, предоставляемых из бюджетов поселений бюджету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на осуществление части полномочий сельских поселения в области градостроительной деятельности.</w:t>
      </w:r>
    </w:p>
    <w:p w:rsidR="00C04BDA" w:rsidRDefault="00C04B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Настояща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методика определяет порядок, цели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расчета объема иных межбюджетных трансфертов, предоставляемых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из бюджетов сельских поселений бюджету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на осуществление части полномочий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градостроительной деятельности (далее - межбюджетные трансферты).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Межбюджетные трансферты предоставляются в целях финансового обеспечения деятельности работника, непосредственно осуществляющего функции по переданным полномочиям в области градостроитель</w:t>
      </w:r>
      <w:r>
        <w:rPr>
          <w:rFonts w:ascii="Times New Roman" w:eastAsia="Times New Roman" w:hAnsi="Times New Roman" w:cs="Times New Roman"/>
          <w:sz w:val="28"/>
          <w:szCs w:val="28"/>
        </w:rPr>
        <w:t>ной деятельности (далее - работник).</w:t>
      </w:r>
    </w:p>
    <w:p w:rsidR="00C04BDA" w:rsidRDefault="007200A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Объем межбюджетных трансфертов, подлежащий передаче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из бюджетов сельских поселений входящих в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на осуществление полномочий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градостроительной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и в границах сельского поселения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MT</w:t>
      </w:r>
      <w:r>
        <w:rPr>
          <w:rFonts w:ascii="Times New Roman" w:eastAsia="Times New Roman" w:hAnsi="Times New Roman" w:cs="Times New Roman"/>
          <w:sz w:val="28"/>
          <w:szCs w:val="28"/>
        </w:rPr>
        <w:t>), определяется как:</w:t>
      </w:r>
    </w:p>
    <w:p w:rsidR="00C04BDA" w:rsidRDefault="00C04BD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widowControl w:val="0"/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MT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КУ, где:</w:t>
      </w:r>
    </w:p>
    <w:p w:rsidR="00C04BDA" w:rsidRDefault="00C04BDA">
      <w:pPr>
        <w:widowControl w:val="0"/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4BDA" w:rsidRDefault="007200A5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MT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- объём иных межбюджетных трансфертов на финансовое обеспечение переданных полномочий в области градостроительной деятельности, в рублях;</w:t>
      </w:r>
    </w:p>
    <w:p w:rsidR="00C04BDA" w:rsidRDefault="007200A5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оказания одной </w:t>
      </w:r>
      <w:r>
        <w:rPr>
          <w:rFonts w:ascii="Times New Roman" w:eastAsia="Times New Roman" w:hAnsi="Times New Roman" w:cs="Times New Roman"/>
          <w:sz w:val="28"/>
          <w:szCs w:val="28"/>
        </w:rPr>
        <w:t>услуги, в рублях;</w:t>
      </w:r>
    </w:p>
    <w:p w:rsidR="00C04BDA" w:rsidRDefault="007200A5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 - фактическое количество оказанных услуг за год, предшествующий году, в котором осуществляется планирование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очередной финансовый год, единиц.</w:t>
      </w:r>
    </w:p>
    <w:p w:rsidR="00C04BDA" w:rsidRDefault="007200A5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оказания услуг рассчитывается по следующей формуле:</w:t>
      </w:r>
    </w:p>
    <w:p w:rsidR="00C04BDA" w:rsidRDefault="007200A5">
      <w:pPr>
        <w:widowControl w:val="0"/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9389101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gramEnd"/>
      <w:r w:rsidR="00C04BDA" w:rsidRPr="00C04BDA"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>QUOTE</w:instrText>
      </w:r>
      <w:r w:rsidR="00C04BDA" w:rsidRPr="00C04B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7" type="#_x0000_t75" style="position:absolute;left:0;text-align:left;margin-left:0;margin-top:0;width:95.95pt;height:25.45pt;z-index:251658240;mso-wrap-style:none;mso-position-horizontal-relative:text;mso-position-vertical:top;mso-position-vertical-relative:text;v-text-anchor:middle" o:allowincell="f" strokecolor="#3465a4">
            <v:stroke joinstyle="round"/>
            <v:imagedata r:id="rId6" o:title="image4"/>
          </v:shape>
        </w:pict>
      </w:r>
      <w:r w:rsidR="00C04BDA">
        <w:rPr>
          <w:rFonts w:ascii="Times New Roman" w:hAnsi="Times New Roman"/>
          <w:sz w:val="24"/>
          <w:szCs w:val="24"/>
        </w:rPr>
        <w:fldChar w:fldCharType="separate"/>
      </w:r>
      <w:r w:rsidR="00C04BDA" w:rsidRPr="00C04BDA">
        <w:pict>
          <v:shape id="_x0000_s1026" type="#_x0000_t75" style="position:absolute;left:0;text-align:left;margin-left:0;margin-top:0;width:95.95pt;height:25.45pt;z-index:251659264;mso-wrap-style:none;mso-position-horizontal-relative:text;mso-position-vertical:top;mso-position-vertical-relative:text;v-text-anchor:middle" o:allowincell="f" strokecolor="#3465a4">
            <v:stroke joinstyle="round"/>
            <v:imagedata r:id="rId6" o:title="image4"/>
          </v:shape>
        </w:pict>
      </w:r>
      <w:r w:rsidR="00C04BDA">
        <w:rPr>
          <w:rFonts w:ascii="Times New Roman" w:hAnsi="Times New Roman"/>
          <w:sz w:val="24"/>
          <w:szCs w:val="24"/>
        </w:rPr>
        <w:fldChar w:fldCharType="end"/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C04BDA" w:rsidRDefault="007200A5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 -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одовой фонд оплаты труда с начислениями специалиста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Сарактасшкого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осуществляющего оказание услуги в области градостроительной деятельности, планируемый на очередной финансовый год, в рублях;</w:t>
      </w:r>
    </w:p>
    <w:p w:rsidR="00C04BDA" w:rsidRDefault="007200A5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КЧ - количество рабочих часов, предусмотренных в планируе</w:t>
      </w:r>
      <w:r>
        <w:rPr>
          <w:rFonts w:ascii="Times New Roman" w:eastAsia="Times New Roman" w:hAnsi="Times New Roman" w:cs="Times New Roman"/>
          <w:sz w:val="28"/>
          <w:szCs w:val="28"/>
        </w:rPr>
        <w:t>мом году;</w:t>
      </w:r>
    </w:p>
    <w:p w:rsidR="00C04BDA" w:rsidRDefault="007200A5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затраченное на оказание данной услуги,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хронометражем рабочего времени, минут.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эффективного исполнения переданных полномочий поселений в области градостроительной деятельности в процессе исполнения бюджета райо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вправе перераспределить расходы на годовое содержание работника между экономическими статьями расходов в случае: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изменений положений законодательных актов Российской Федерации, Оренбургской области, НПА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влияющие на фонд оплаты труда работника;</w:t>
      </w:r>
    </w:p>
    <w:p w:rsidR="00C04BDA" w:rsidRDefault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экономии средств по отдельной экономической статье. </w:t>
      </w:r>
    </w:p>
    <w:p w:rsidR="00C04BDA" w:rsidRDefault="00C04BDA"/>
    <w:sectPr w:rsidR="00C04BDA" w:rsidSect="00C04BD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04BDA"/>
    <w:rsid w:val="007200A5"/>
    <w:rsid w:val="00C0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semiHidden/>
    <w:unhideWhenUsed/>
    <w:qFormat/>
    <w:rsid w:val="00701F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">
    <w:name w:val="Заголовок 2 Знак"/>
    <w:basedOn w:val="a0"/>
    <w:link w:val="Heading2"/>
    <w:semiHidden/>
    <w:qFormat/>
    <w:rsid w:val="00701F49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701F49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0"/>
    <w:link w:val="a6"/>
    <w:uiPriority w:val="99"/>
    <w:qFormat/>
    <w:locked/>
    <w:rsid w:val="00701F49"/>
  </w:style>
  <w:style w:type="paragraph" w:customStyle="1" w:styleId="Heading">
    <w:name w:val="Heading"/>
    <w:basedOn w:val="a"/>
    <w:next w:val="a7"/>
    <w:qFormat/>
    <w:rsid w:val="00C04BD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C04BDA"/>
    <w:pPr>
      <w:spacing w:after="140"/>
    </w:pPr>
  </w:style>
  <w:style w:type="paragraph" w:styleId="a8">
    <w:name w:val="List"/>
    <w:basedOn w:val="a7"/>
    <w:rsid w:val="00C04BDA"/>
  </w:style>
  <w:style w:type="paragraph" w:customStyle="1" w:styleId="Caption">
    <w:name w:val="Caption"/>
    <w:basedOn w:val="a"/>
    <w:qFormat/>
    <w:rsid w:val="00C04B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04BDA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701F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5"/>
    <w:uiPriority w:val="99"/>
    <w:qFormat/>
    <w:rsid w:val="00701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2297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2026-01-27T04:37:00Z</cp:lastPrinted>
  <dcterms:created xsi:type="dcterms:W3CDTF">2026-01-27T04:40:00Z</dcterms:created>
  <dcterms:modified xsi:type="dcterms:W3CDTF">2026-01-27T04:40:00Z</dcterms:modified>
  <dc:language>ru-RU</dc:language>
</cp:coreProperties>
</file>