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472BFF">
        <w:trPr>
          <w:trHeight w:val="1187"/>
          <w:jc w:val="center"/>
        </w:trPr>
        <w:tc>
          <w:tcPr>
            <w:tcW w:w="3321" w:type="dxa"/>
          </w:tcPr>
          <w:p w:rsidR="00472BFF" w:rsidRDefault="00472BFF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72BFF" w:rsidRDefault="00467763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90575" cy="800100"/>
                  <wp:effectExtent l="0" t="0" r="0" b="0"/>
                  <wp:docPr id="1" name="Рисунок 1" descr="va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va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2BFF" w:rsidRDefault="00472BFF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472BFF" w:rsidRDefault="00472B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472BFF" w:rsidRDefault="00472BFF">
      <w:pPr>
        <w:keepNext/>
        <w:spacing w:after="0" w:line="240" w:lineRule="auto"/>
        <w:ind w:right="-284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BFF" w:rsidRDefault="00467763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iCs/>
          <w:sz w:val="32"/>
          <w:szCs w:val="32"/>
        </w:rPr>
        <w:t>АДМИНИСТРАЦИЯ ВАСИЛЬЕВСКОГО СЕЛЬСОВЕТА САРАКТАШСКОГО РАЙОНА ОРЕНБУРГСКОЙ ОБЛАСТИ</w:t>
      </w:r>
    </w:p>
    <w:p w:rsidR="00472BFF" w:rsidRDefault="00472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472BFF" w:rsidRDefault="00467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:rsidR="00472BFF" w:rsidRDefault="00472BFF">
      <w:pPr>
        <w:pBdr>
          <w:bottom w:val="single" w:sz="18" w:space="0" w:color="000000"/>
        </w:pBdr>
        <w:spacing w:after="0" w:line="240" w:lineRule="auto"/>
        <w:ind w:right="-5"/>
        <w:rPr>
          <w:rFonts w:ascii="Arial" w:eastAsia="Times New Roman" w:hAnsi="Arial" w:cs="Arial"/>
          <w:sz w:val="2"/>
          <w:szCs w:val="2"/>
        </w:rPr>
      </w:pPr>
    </w:p>
    <w:p w:rsidR="00472BFF" w:rsidRDefault="00467763">
      <w:pPr>
        <w:spacing w:after="0" w:line="240" w:lineRule="auto"/>
        <w:ind w:right="-7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-1905</wp:posOffset>
            </wp:positionV>
            <wp:extent cx="2095500" cy="360045"/>
            <wp:effectExtent l="1905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2BFF" w:rsidRDefault="00467763">
      <w:pPr>
        <w:widowControl w:val="0"/>
        <w:tabs>
          <w:tab w:val="left" w:pos="708"/>
          <w:tab w:val="center" w:pos="4677"/>
          <w:tab w:val="right" w:pos="9355"/>
        </w:tabs>
        <w:spacing w:after="0" w:line="240" w:lineRule="auto"/>
        <w:ind w:right="-142"/>
        <w:jc w:val="center"/>
        <w:rPr>
          <w:rFonts w:ascii="Times New Roman" w:eastAsiaTheme="minorHAnsi" w:hAnsi="Times New Roman" w:cs="Arial"/>
          <w:sz w:val="28"/>
          <w:szCs w:val="28"/>
          <w:u w:val="single"/>
        </w:rPr>
      </w:pPr>
      <w:proofErr w:type="gramStart"/>
      <w:r>
        <w:rPr>
          <w:rFonts w:ascii="Times New Roman" w:hAnsi="Times New Roman" w:cs="Arial"/>
          <w:sz w:val="28"/>
          <w:szCs w:val="28"/>
        </w:rPr>
        <w:t>с</w:t>
      </w:r>
      <w:proofErr w:type="gramEnd"/>
      <w:r>
        <w:rPr>
          <w:rFonts w:ascii="Times New Roman" w:hAnsi="Times New Roman" w:cs="Arial"/>
          <w:sz w:val="28"/>
          <w:szCs w:val="28"/>
        </w:rPr>
        <w:t>. Васильевка</w:t>
      </w:r>
    </w:p>
    <w:p w:rsidR="00472BFF" w:rsidRDefault="00472B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72BFF" w:rsidRDefault="00472BFF">
      <w:pPr>
        <w:keepNext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2BFF" w:rsidRDefault="00472B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8358" w:type="dxa"/>
        <w:jc w:val="center"/>
        <w:tblLayout w:type="fixed"/>
        <w:tblLook w:val="01E0"/>
      </w:tblPr>
      <w:tblGrid>
        <w:gridCol w:w="8358"/>
      </w:tblGrid>
      <w:tr w:rsidR="00472BFF">
        <w:trPr>
          <w:jc w:val="center"/>
        </w:trPr>
        <w:tc>
          <w:tcPr>
            <w:tcW w:w="8358" w:type="dxa"/>
          </w:tcPr>
          <w:p w:rsidR="00472BFF" w:rsidRDefault="00467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внесении изменений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Регламент реализации</w:t>
            </w:r>
          </w:p>
          <w:p w:rsidR="00472BFF" w:rsidRDefault="00467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полномочий администратора доходов бюджета</w:t>
            </w:r>
          </w:p>
          <w:p w:rsidR="00472BFF" w:rsidRDefault="00467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 взысканию дебиторской задолженности</w:t>
            </w:r>
          </w:p>
          <w:p w:rsidR="00472BFF" w:rsidRDefault="0046776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платежам в бюджет, пеням и штрафам по 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утвержденный постановлением администрации Васильевский 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района Оренбургской области от 23.04.2025№ 23-п</w:t>
            </w:r>
          </w:p>
        </w:tc>
      </w:tr>
    </w:tbl>
    <w:p w:rsidR="00472BFF" w:rsidRDefault="00472BFF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72BFF" w:rsidRDefault="004677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160.1 Бюджетного Кодекса Российской Федерации, Приказом М</w:t>
      </w:r>
      <w:r>
        <w:rPr>
          <w:rFonts w:ascii="Times New Roman" w:eastAsia="Times New Roman" w:hAnsi="Times New Roman" w:cs="Times New Roman"/>
          <w:sz w:val="28"/>
          <w:szCs w:val="28"/>
        </w:rPr>
        <w:t>инфина России от 26.09.2024 № 139н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руководствуясь Уставом муниципальног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образования Васильевский 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области: </w:t>
      </w:r>
    </w:p>
    <w:p w:rsidR="00472BFF" w:rsidRDefault="00472BFF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8"/>
          <w:szCs w:val="28"/>
        </w:rPr>
      </w:pPr>
    </w:p>
    <w:p w:rsidR="00472BFF" w:rsidRDefault="00467763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Внести изменения в Регламент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реализации полномочий администратора доходов бюджета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взысканию дебиторской задолженности по платежам в бюджет, пеням и штрафам по ним,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утвержденный постановлением администрации Васильевский сельсовет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Оренбургской области от 23.04.2025 № 23-п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Регламент)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следующие изменения: </w:t>
      </w:r>
    </w:p>
    <w:p w:rsidR="00472BFF" w:rsidRDefault="00467763">
      <w:pPr>
        <w:widowControl w:val="0"/>
        <w:numPr>
          <w:ilvl w:val="1"/>
          <w:numId w:val="3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Дополнить Регламент разделом 5 следующего содержания:</w:t>
      </w:r>
    </w:p>
    <w:p w:rsidR="00472BFF" w:rsidRDefault="00467763">
      <w:pPr>
        <w:spacing w:after="0" w:line="32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    Мероприятия по наблюдению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</w:t>
      </w:r>
    </w:p>
    <w:p w:rsidR="00472BFF" w:rsidRDefault="004677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случае и порядке, установленном законодательством Российской Федерации, ответственный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сотрудник Администрации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  Васильевский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не позднее 30-ти календарных дней со дня получения исполнительного листа обеспечивают передачу на исполнение в соответствующее территориаль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ное подразделение Федеральной службы судебных приставов документов по просроченной дебиторской задолженности, образовавшейся вследствие реализации полномочий Администрации муниципального образования Васильевский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администратора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доходов бюджетов бюджетной системы Российской Федерации.</w:t>
      </w:r>
    </w:p>
    <w:p w:rsidR="00472BFF" w:rsidRDefault="004677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ответственный сотрудник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Васильевский 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 осуществляет, при необходимости, взаимодействие со службой судебных приставов, включающее в себя:</w:t>
      </w:r>
    </w:p>
    <w:p w:rsidR="00472BFF" w:rsidRDefault="004677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запрос информации о мероприятиях, проводимых приставом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исполнителем, о сумме непогашенной задолженности, о наличии данных об объявлении в розыск должника, его имуществе, об изменении состояния счетов должника, его имуществе и т.д.</w:t>
      </w:r>
    </w:p>
    <w:p w:rsidR="00472BFF" w:rsidRDefault="004677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проводят мониторинг эффективности взыскания просроченной дебиторской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задолженности в рамках исполнительного производства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472BFF" w:rsidRDefault="00467763">
      <w:pPr>
        <w:widowControl w:val="0"/>
        <w:numPr>
          <w:ilvl w:val="1"/>
          <w:numId w:val="1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Дополнить Регламент разделом 6следующего содержания:</w:t>
      </w:r>
    </w:p>
    <w:p w:rsidR="00472BFF" w:rsidRDefault="00467763">
      <w:pPr>
        <w:widowControl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 xml:space="preserve">      Перечень сотрудников администратора доходов бюджета, ответственных за работу с дебиторской задолженностью по доходам</w:t>
      </w:r>
    </w:p>
    <w:p w:rsidR="00472BFF" w:rsidRDefault="004677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6.1. глава сельсовета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72BFF" w:rsidRDefault="004677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6.2. специалист (бухгалтер) сельсовета, ответственный за выполнение мероприятий по реализации полномочий администратора доходов, исполнение функций контрактного управляющего в сфере закупок, по управлению муниципальным имуществом и учета казны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.»</w:t>
      </w:r>
      <w:proofErr w:type="gramEnd"/>
    </w:p>
    <w:p w:rsidR="00472BFF" w:rsidRDefault="00467763">
      <w:pPr>
        <w:widowControl w:val="0"/>
        <w:numPr>
          <w:ilvl w:val="1"/>
          <w:numId w:val="1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ь Регламент разделом 7следующего содержания:</w:t>
      </w:r>
    </w:p>
    <w:p w:rsidR="00472BFF" w:rsidRDefault="004677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7. Порядок обмена информацией (первичными учетными документами) между структурными подразделениями (сотрудниками) администратора доходов бюджета, и со структурными подразделениями (сотрудниками) главного админи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стратора доходов бюджета</w:t>
      </w:r>
      <w:bookmarkStart w:id="0" w:name="_GoBack"/>
      <w:bookmarkEnd w:id="0"/>
    </w:p>
    <w:p w:rsidR="00472BFF" w:rsidRDefault="004677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7.1. При выявлении дебиторской задолженности по доходам сотрудник администрации, наделенный соответствующими полномочиями, подготавливает проект претензии (требования) в 2-х экземплярах и передает на подпись главе сельсовета.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Подписанная претензия (требование) в течение одного рабочего дня направляется должнику (дебитору), а второй экземпляр вместе с документами, обосновывающими возникновение дебиторской задолженности, передается бухгалтеру для своевременного начисления задолже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нности и отражения в бюджетном учете.</w:t>
      </w:r>
    </w:p>
    <w:p w:rsidR="00472BFF" w:rsidRDefault="0046776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7.2.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неуплаты или оплаты в неполном объеме платежей, предусмотренных претензией/требованием, ответственный сотрудник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подготавливает в 2 экземплярах проект уведомления должнику о переводе его задолженности в пр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осроченную и передает на подпись главе сельсовета.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Подписанное уведомление в течение одного рабочего дня направляется должнику (дебитору), а второй экземпляр передается главному бухгалтеру вместе с документами, содержащими информацию о согласии должника (д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ебитора) добровольно погасить задолженность, о предоставлении отсрочки (рассрочки) платежа, либо об отказе должника (дебитора) от уплаты платежей. </w:t>
      </w:r>
    </w:p>
    <w:p w:rsidR="00472BFF" w:rsidRDefault="004677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7.3. В случае принятия решения о принудительном взыскании дебиторской задолженности по доходам подготовка до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кументов и взаимодействие структурных подразделений (сотрудников) администрации сельсовета осуществляется в соответствии с разделом 4 Регламента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.»</w:t>
      </w:r>
      <w:proofErr w:type="gramEnd"/>
    </w:p>
    <w:p w:rsidR="00472BFF" w:rsidRDefault="0046776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Постановление вступает в силу со дня его подписания и подлежит размещению на официальном сайте администрац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ии Васильевского сельсовета. </w:t>
      </w:r>
    </w:p>
    <w:p w:rsidR="00472BFF" w:rsidRDefault="00467763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его исполнением настоящего постановления оставляю за собой.</w:t>
      </w:r>
    </w:p>
    <w:p w:rsidR="00472BFF" w:rsidRDefault="00472BF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</w:rPr>
      </w:pPr>
    </w:p>
    <w:p w:rsidR="00472BFF" w:rsidRDefault="00472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72BFF" w:rsidRDefault="0046776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сельсовета                                                            В.Н. Тихонов</w:t>
      </w:r>
    </w:p>
    <w:p w:rsidR="00472BFF" w:rsidRDefault="00472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BFF" w:rsidRDefault="00472BFF">
      <w:pPr>
        <w:widowControl w:val="0"/>
        <w:spacing w:after="120"/>
        <w:ind w:left="1416" w:firstLine="708"/>
        <w:rPr>
          <w:rFonts w:ascii="Tahoma" w:eastAsiaTheme="minorHAnsi" w:hAnsi="Tahoma" w:cs="Tahoma"/>
          <w:kern w:val="2"/>
          <w:sz w:val="16"/>
          <w:szCs w:val="16"/>
        </w:rPr>
      </w:pPr>
    </w:p>
    <w:p w:rsidR="00472BFF" w:rsidRDefault="00472BFF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472BFF" w:rsidRDefault="004677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Разослано: бухгалтерии, финотдел</w:t>
      </w:r>
    </w:p>
    <w:p w:rsidR="00472BFF" w:rsidRDefault="00472BF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2BFF" w:rsidRDefault="00472BFF"/>
    <w:sectPr w:rsidR="00472BFF" w:rsidSect="00472BF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72A7A"/>
    <w:multiLevelType w:val="multilevel"/>
    <w:tmpl w:val="33F8FC3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>
    <w:nsid w:val="724211A3"/>
    <w:multiLevelType w:val="multilevel"/>
    <w:tmpl w:val="946A3A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472BFF"/>
    <w:rsid w:val="00467763"/>
    <w:rsid w:val="0047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54E8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472BF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472BFF"/>
    <w:pPr>
      <w:spacing w:after="140"/>
    </w:pPr>
  </w:style>
  <w:style w:type="paragraph" w:styleId="a6">
    <w:name w:val="List"/>
    <w:basedOn w:val="a5"/>
    <w:rsid w:val="00472BFF"/>
  </w:style>
  <w:style w:type="paragraph" w:customStyle="1" w:styleId="Caption">
    <w:name w:val="Caption"/>
    <w:basedOn w:val="a"/>
    <w:qFormat/>
    <w:rsid w:val="00472B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72BFF"/>
    <w:pPr>
      <w:suppressLineNumbers/>
    </w:pPr>
  </w:style>
  <w:style w:type="paragraph" w:styleId="a4">
    <w:name w:val="Balloon Text"/>
    <w:basedOn w:val="a"/>
    <w:link w:val="a3"/>
    <w:uiPriority w:val="99"/>
    <w:semiHidden/>
    <w:unhideWhenUsed/>
    <w:qFormat/>
    <w:rsid w:val="00654E82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2025-12-22T07:03:00Z</cp:lastPrinted>
  <dcterms:created xsi:type="dcterms:W3CDTF">2025-12-22T07:04:00Z</dcterms:created>
  <dcterms:modified xsi:type="dcterms:W3CDTF">2025-12-22T07:04:00Z</dcterms:modified>
  <dc:language>ru-RU</dc:language>
</cp:coreProperties>
</file>