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5" w:type="dxa"/>
        <w:jc w:val="center"/>
        <w:tblLayout w:type="fixed"/>
        <w:tblLook w:val="01E0"/>
      </w:tblPr>
      <w:tblGrid>
        <w:gridCol w:w="3322"/>
        <w:gridCol w:w="2979"/>
        <w:gridCol w:w="3464"/>
      </w:tblGrid>
      <w:tr w:rsidR="00123A40" w:rsidTr="00123A40">
        <w:trPr>
          <w:trHeight w:val="961"/>
          <w:jc w:val="center"/>
        </w:trPr>
        <w:tc>
          <w:tcPr>
            <w:tcW w:w="3321" w:type="dxa"/>
          </w:tcPr>
          <w:p w:rsidR="00123A40" w:rsidRDefault="00123A40">
            <w:pPr>
              <w:widowControl w:val="0"/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hideMark/>
          </w:tcPr>
          <w:p w:rsidR="00123A40" w:rsidRDefault="00123A40">
            <w:pPr>
              <w:widowControl w:val="0"/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69265" cy="445135"/>
                  <wp:effectExtent l="19050" t="0" r="6985" b="0"/>
                  <wp:docPr id="1" name="Рисунок 1" descr="va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va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23A40" w:rsidRDefault="00123A40">
            <w:pPr>
              <w:widowControl w:val="0"/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123A40" w:rsidRDefault="00123A40" w:rsidP="00123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123A40" w:rsidRDefault="00123A40" w:rsidP="00123A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123A40" w:rsidRDefault="00123A40" w:rsidP="00123A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123A40" w:rsidRDefault="00123A40" w:rsidP="00123A4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123A40" w:rsidRDefault="00123A40" w:rsidP="00123A40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123A40" w:rsidRDefault="00123A40" w:rsidP="00123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07.02.2024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Васильевка                                        № 14-п</w:t>
      </w:r>
    </w:p>
    <w:p w:rsidR="00123A40" w:rsidRDefault="00123A40" w:rsidP="00123A40">
      <w:pPr>
        <w:pStyle w:val="2"/>
        <w:ind w:right="849" w:firstLine="0"/>
        <w:jc w:val="left"/>
        <w:rPr>
          <w:rFonts w:ascii="Times New Roman" w:hAnsi="Times New Roman"/>
          <w:sz w:val="28"/>
          <w:szCs w:val="28"/>
        </w:rPr>
      </w:pPr>
    </w:p>
    <w:p w:rsidR="00123A40" w:rsidRDefault="00123A40" w:rsidP="00123A40">
      <w:pPr>
        <w:pStyle w:val="2"/>
        <w:ind w:left="851" w:right="849"/>
        <w:rPr>
          <w:rFonts w:ascii="Times New Roman" w:hAnsi="Times New Roman"/>
          <w:sz w:val="28"/>
          <w:szCs w:val="28"/>
        </w:rPr>
      </w:pPr>
    </w:p>
    <w:p w:rsidR="00123A40" w:rsidRDefault="00123A40" w:rsidP="00123A40">
      <w:pPr>
        <w:pStyle w:val="2"/>
        <w:ind w:left="851" w:right="84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Об утверждении Положения о порядке использования бюджетных ассигнований резервного фонда </w:t>
      </w:r>
    </w:p>
    <w:p w:rsidR="00123A40" w:rsidRDefault="00123A40" w:rsidP="00123A40">
      <w:pPr>
        <w:pStyle w:val="2"/>
        <w:ind w:left="851" w:right="84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Васильевский сельсовет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Оренбургской области</w:t>
      </w:r>
    </w:p>
    <w:p w:rsidR="00123A40" w:rsidRDefault="00123A40" w:rsidP="00123A40">
      <w:pPr>
        <w:ind w:left="851" w:right="849"/>
        <w:jc w:val="center"/>
        <w:rPr>
          <w:rFonts w:ascii="Times New Roman" w:hAnsi="Times New Roman"/>
          <w:sz w:val="28"/>
          <w:szCs w:val="28"/>
        </w:rPr>
      </w:pPr>
    </w:p>
    <w:p w:rsidR="00123A40" w:rsidRDefault="00123A40" w:rsidP="00123A40">
      <w:pPr>
        <w:ind w:firstLine="709"/>
        <w:jc w:val="both"/>
        <w:rPr>
          <w:sz w:val="28"/>
          <w:szCs w:val="20"/>
        </w:rPr>
      </w:pPr>
    </w:p>
    <w:p w:rsidR="00123A40" w:rsidRDefault="00123A40" w:rsidP="00123A40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81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Васильевский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3A40" w:rsidRDefault="00123A40" w:rsidP="00123A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23A40" w:rsidRDefault="00123A40" w:rsidP="00123A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  <w:lang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/>
        </w:rPr>
        <w:t xml:space="preserve"> о порядке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бюджетных ассигнований резервного фонда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согласно приложению к настоящему постановлению.</w:t>
      </w:r>
    </w:p>
    <w:p w:rsidR="00123A40" w:rsidRDefault="00123A40" w:rsidP="00123A4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утратившими силу постановление администрации 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25.03.2020 № 23-п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Положения о порядке использования  бюджетных ассигнований резервного фонда</w:t>
      </w:r>
    </w:p>
    <w:p w:rsidR="00123A40" w:rsidRDefault="00123A40" w:rsidP="00123A4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Васильевского сельсовета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Саракташского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Оренбургской области».</w:t>
      </w:r>
    </w:p>
    <w:p w:rsidR="00123A40" w:rsidRDefault="00123A40" w:rsidP="00123A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Обеспечить финансирование расходов из резервного фонда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соответствии с постановлениями администрации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 выделении средств из этого фонда.</w:t>
      </w:r>
    </w:p>
    <w:p w:rsidR="00123A40" w:rsidRDefault="00123A40" w:rsidP="00123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4. Настоящее постановление вступает в силу после дня его официального опубликования и подлежит размещению на официальном сайте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123A40" w:rsidRDefault="00123A40" w:rsidP="00123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23A40" w:rsidRDefault="00123A40" w:rsidP="00123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40" w:rsidRDefault="00123A40" w:rsidP="00123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40" w:rsidRDefault="00123A40" w:rsidP="00123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В.Н. Тихонов</w:t>
      </w:r>
    </w:p>
    <w:p w:rsidR="00123A40" w:rsidRDefault="00123A40" w:rsidP="00123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40" w:rsidRDefault="00123A40" w:rsidP="00123A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A40" w:rsidRDefault="00123A40" w:rsidP="00123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администрации района, прокурору района, в дело.</w:t>
      </w:r>
    </w:p>
    <w:p w:rsidR="00123A40" w:rsidRDefault="00123A40" w:rsidP="00123A40">
      <w:pPr>
        <w:rPr>
          <w:rFonts w:ascii="Times New Roman" w:hAnsi="Times New Roman" w:cs="Times New Roman"/>
          <w:sz w:val="24"/>
          <w:szCs w:val="24"/>
        </w:rPr>
      </w:pPr>
    </w:p>
    <w:p w:rsidR="00123A40" w:rsidRDefault="00123A40" w:rsidP="00123A40">
      <w:pPr>
        <w:rPr>
          <w:rFonts w:ascii="Times New Roman" w:hAnsi="Times New Roman" w:cs="Times New Roman"/>
          <w:sz w:val="24"/>
          <w:szCs w:val="24"/>
        </w:rPr>
      </w:pPr>
    </w:p>
    <w:p w:rsidR="00123A40" w:rsidRDefault="00123A40" w:rsidP="00123A40">
      <w:pPr>
        <w:rPr>
          <w:rFonts w:ascii="Times New Roman" w:hAnsi="Times New Roman" w:cs="Times New Roman"/>
          <w:sz w:val="24"/>
          <w:szCs w:val="24"/>
        </w:rPr>
      </w:pPr>
    </w:p>
    <w:p w:rsidR="00123A40" w:rsidRDefault="00123A40" w:rsidP="00123A40">
      <w:pPr>
        <w:rPr>
          <w:rFonts w:ascii="Times New Roman" w:hAnsi="Times New Roman" w:cs="Times New Roman"/>
          <w:sz w:val="24"/>
          <w:szCs w:val="24"/>
        </w:rPr>
      </w:pPr>
    </w:p>
    <w:p w:rsidR="00123A40" w:rsidRDefault="00123A40" w:rsidP="00123A40">
      <w:pPr>
        <w:rPr>
          <w:rFonts w:ascii="Times New Roman" w:hAnsi="Times New Roman" w:cs="Times New Roman"/>
          <w:sz w:val="24"/>
          <w:szCs w:val="24"/>
        </w:rPr>
      </w:pPr>
    </w:p>
    <w:p w:rsidR="00123A40" w:rsidRDefault="00123A40" w:rsidP="00123A40">
      <w:pPr>
        <w:rPr>
          <w:rFonts w:ascii="Times New Roman" w:hAnsi="Times New Roman" w:cs="Times New Roman"/>
          <w:sz w:val="24"/>
          <w:szCs w:val="24"/>
        </w:rPr>
      </w:pPr>
    </w:p>
    <w:p w:rsidR="00123A40" w:rsidRDefault="00123A40" w:rsidP="00123A40">
      <w:pPr>
        <w:rPr>
          <w:rFonts w:ascii="Times New Roman" w:hAnsi="Times New Roman" w:cs="Times New Roman"/>
          <w:sz w:val="24"/>
          <w:szCs w:val="24"/>
        </w:rPr>
      </w:pPr>
    </w:p>
    <w:p w:rsidR="00123A40" w:rsidRDefault="00123A40" w:rsidP="00123A40">
      <w:pPr>
        <w:rPr>
          <w:rFonts w:ascii="Times New Roman" w:hAnsi="Times New Roman" w:cs="Times New Roman"/>
          <w:sz w:val="24"/>
          <w:szCs w:val="24"/>
        </w:rPr>
      </w:pPr>
    </w:p>
    <w:p w:rsidR="00123A40" w:rsidRDefault="00123A40" w:rsidP="00123A40">
      <w:pPr>
        <w:rPr>
          <w:rFonts w:ascii="Times New Roman" w:hAnsi="Times New Roman" w:cs="Times New Roman"/>
          <w:sz w:val="24"/>
          <w:szCs w:val="24"/>
        </w:rPr>
      </w:pPr>
    </w:p>
    <w:p w:rsidR="00123A40" w:rsidRDefault="00123A40" w:rsidP="00123A40">
      <w:pPr>
        <w:rPr>
          <w:rFonts w:ascii="Times New Roman" w:hAnsi="Times New Roman" w:cs="Times New Roman"/>
          <w:sz w:val="24"/>
          <w:szCs w:val="24"/>
        </w:rPr>
      </w:pPr>
    </w:p>
    <w:p w:rsidR="00123A40" w:rsidRDefault="00123A40" w:rsidP="00123A40">
      <w:pPr>
        <w:rPr>
          <w:rFonts w:ascii="Times New Roman" w:hAnsi="Times New Roman" w:cs="Times New Roman"/>
          <w:sz w:val="24"/>
          <w:szCs w:val="24"/>
        </w:rPr>
      </w:pPr>
    </w:p>
    <w:p w:rsidR="00123A40" w:rsidRDefault="00123A40" w:rsidP="00123A40">
      <w:pPr>
        <w:rPr>
          <w:rFonts w:ascii="Times New Roman" w:hAnsi="Times New Roman" w:cs="Times New Roman"/>
          <w:sz w:val="24"/>
          <w:szCs w:val="24"/>
        </w:rPr>
      </w:pPr>
    </w:p>
    <w:p w:rsidR="00123A40" w:rsidRDefault="00123A40" w:rsidP="00123A40">
      <w:pPr>
        <w:rPr>
          <w:rFonts w:ascii="Times New Roman" w:hAnsi="Times New Roman" w:cs="Times New Roman"/>
          <w:sz w:val="24"/>
          <w:szCs w:val="24"/>
        </w:rPr>
      </w:pPr>
    </w:p>
    <w:p w:rsidR="00123A40" w:rsidRDefault="00123A40" w:rsidP="00123A40">
      <w:pPr>
        <w:rPr>
          <w:rFonts w:ascii="Times New Roman" w:hAnsi="Times New Roman" w:cs="Times New Roman"/>
          <w:sz w:val="24"/>
          <w:szCs w:val="24"/>
        </w:rPr>
      </w:pPr>
    </w:p>
    <w:p w:rsidR="00123A40" w:rsidRDefault="00123A40" w:rsidP="00123A40">
      <w:pPr>
        <w:rPr>
          <w:rFonts w:ascii="Times New Roman" w:hAnsi="Times New Roman" w:cs="Times New Roman"/>
          <w:sz w:val="24"/>
          <w:szCs w:val="24"/>
        </w:rPr>
      </w:pPr>
    </w:p>
    <w:p w:rsidR="00123A40" w:rsidRDefault="00123A40" w:rsidP="00123A40">
      <w:pPr>
        <w:rPr>
          <w:rFonts w:ascii="Times New Roman" w:hAnsi="Times New Roman" w:cs="Times New Roman"/>
          <w:sz w:val="24"/>
          <w:szCs w:val="24"/>
        </w:rPr>
      </w:pPr>
    </w:p>
    <w:p w:rsidR="00123A40" w:rsidRDefault="00123A40" w:rsidP="00123A4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к постановлению</w:t>
      </w:r>
    </w:p>
    <w:p w:rsidR="00123A40" w:rsidRDefault="00123A40" w:rsidP="00123A4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 О Васильевский сельсовет </w:t>
      </w:r>
    </w:p>
    <w:p w:rsidR="00123A40" w:rsidRDefault="00123A40" w:rsidP="00123A4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123A40" w:rsidRDefault="00123A40" w:rsidP="00123A4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07.02.2024   № 14-п</w:t>
      </w:r>
    </w:p>
    <w:p w:rsidR="00123A40" w:rsidRDefault="00123A40" w:rsidP="00123A40">
      <w:pPr>
        <w:shd w:val="clear" w:color="auto" w:fill="FFFFFF"/>
        <w:spacing w:line="298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123A40" w:rsidRDefault="00123A40" w:rsidP="00123A40">
      <w:pPr>
        <w:shd w:val="clear" w:color="auto" w:fill="FFFFFF"/>
        <w:spacing w:line="298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123A40" w:rsidRDefault="00123A40" w:rsidP="00123A40">
      <w:pPr>
        <w:shd w:val="clear" w:color="auto" w:fill="FFFFFF"/>
        <w:spacing w:line="298" w:lineRule="exact"/>
        <w:ind w:left="960" w:hanging="950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 порядке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расходования средств резервного фонда администрации муниципального образования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Васильевский сельсовет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района Оренбургской области</w:t>
      </w:r>
    </w:p>
    <w:p w:rsidR="00123A40" w:rsidRDefault="00123A40" w:rsidP="00123A40">
      <w:pPr>
        <w:shd w:val="clear" w:color="auto" w:fill="FFFFFF"/>
        <w:spacing w:line="298" w:lineRule="exact"/>
        <w:ind w:left="960" w:hanging="950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(далее – Положение)</w:t>
      </w:r>
    </w:p>
    <w:p w:rsidR="00123A40" w:rsidRDefault="00123A40" w:rsidP="00123A40">
      <w:pPr>
        <w:rPr>
          <w:rFonts w:ascii="Times New Roman" w:hAnsi="Times New Roman" w:cs="Times New Roman"/>
          <w:sz w:val="20"/>
          <w:szCs w:val="20"/>
        </w:rPr>
      </w:pPr>
    </w:p>
    <w:p w:rsidR="00123A40" w:rsidRDefault="00123A40" w:rsidP="00123A40">
      <w:pPr>
        <w:rPr>
          <w:rFonts w:ascii="Times New Roman" w:hAnsi="Times New Roman" w:cs="Times New Roman"/>
        </w:rPr>
      </w:pPr>
    </w:p>
    <w:p w:rsidR="00123A40" w:rsidRDefault="00123A40" w:rsidP="00123A40">
      <w:pPr>
        <w:tabs>
          <w:tab w:val="left" w:pos="284"/>
        </w:tabs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I. Общие положения</w:t>
      </w:r>
    </w:p>
    <w:p w:rsidR="00123A40" w:rsidRDefault="00123A40" w:rsidP="00123A4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23A40" w:rsidRDefault="00123A40" w:rsidP="00123A4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 xml:space="preserve">Настоящее Положение разработано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района Оренбургской области и устанавливает порядок формирования, выделения и расходования средств резервного фонда администрации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района Оренбургской области (далее - резервный фонд).</w:t>
      </w:r>
      <w:proofErr w:type="gramEnd"/>
    </w:p>
    <w:p w:rsidR="00123A40" w:rsidRDefault="00123A40" w:rsidP="00123A4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Резервный фонд представляет собой обособленную часть средств местного бюджета, предназначенную для финансирования непредвиденных расходов. </w:t>
      </w:r>
    </w:p>
    <w:p w:rsidR="00123A40" w:rsidRDefault="00123A40" w:rsidP="00123A4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 К непредвиденным расходам относятся расходы, носящие случайный характер, возникновение потребности в которых нельзя предусмотреть заранее в силу обстоятельств объективного характера и которые не могли быть учтены при формировании расходов местного бюджета на соответствующий финансовый год и плановый период и не могут быть отложены на очередной финансовый год.</w:t>
      </w:r>
    </w:p>
    <w:p w:rsidR="00123A40" w:rsidRDefault="00123A40" w:rsidP="00123A4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23A40" w:rsidRDefault="00123A40" w:rsidP="00123A40">
      <w:pPr>
        <w:tabs>
          <w:tab w:val="left" w:pos="284"/>
        </w:tabs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II. Порядок формирования средств резервного фонда</w:t>
      </w:r>
    </w:p>
    <w:p w:rsidR="00123A40" w:rsidRDefault="00123A40" w:rsidP="00123A4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23A40" w:rsidRDefault="00123A40" w:rsidP="00123A4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4. Размер резервного фонда устанавливается решением Совета депутатов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района Оренбургской области о местном бюджете отдельной строкой на очередной финансовый год и на плановый период и не может превышать 3 процентов утвержденного общего объёма расходов местного бюджета. </w:t>
      </w:r>
    </w:p>
    <w:p w:rsidR="00123A40" w:rsidRDefault="00123A40" w:rsidP="00123A4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5. 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местный бюджет.</w:t>
      </w:r>
    </w:p>
    <w:p w:rsidR="00123A40" w:rsidRDefault="00123A40" w:rsidP="00123A4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6. Главным распорядителем бюджетных средств резервного фонда в части принятия решения о его использовании является администрация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района Оренбургской области. </w:t>
      </w:r>
    </w:p>
    <w:p w:rsidR="00123A40" w:rsidRDefault="00123A40" w:rsidP="00123A4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23A40" w:rsidRDefault="00123A40" w:rsidP="00123A40">
      <w:pPr>
        <w:tabs>
          <w:tab w:val="left" w:pos="284"/>
        </w:tabs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III. Направление расходования средств резервного фонда, порядок предоставления, основания для отказа</w:t>
      </w:r>
    </w:p>
    <w:p w:rsidR="00123A40" w:rsidRDefault="00123A40" w:rsidP="00123A4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23A40" w:rsidRDefault="00123A40" w:rsidP="00123A4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7. Средства резервного фонда администрации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района Оренбургской области могут расходоваться на следующие цели:</w:t>
      </w:r>
    </w:p>
    <w:p w:rsidR="00123A40" w:rsidRDefault="00123A40" w:rsidP="00123A4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 предупреждение ситуаций, которые могут привести к нарушению функционирования систем жизнеобеспечения населения МО Васильевский сельсовет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района Оренбургской области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ликвидацию их последствий;</w:t>
      </w:r>
    </w:p>
    <w:p w:rsidR="00123A40" w:rsidRDefault="00123A40" w:rsidP="00123A4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предупреждение массовых заболеваний и эпидемий на территории сельского поселения, включая проведение карантинных мероприятий в случае эпидемий и ликвидацию их последствий;</w:t>
      </w:r>
    </w:p>
    <w:p w:rsidR="00123A40" w:rsidRDefault="00123A40" w:rsidP="00123A4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организацию и осуществление на территории сельского поселения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123A40" w:rsidRDefault="00123A40" w:rsidP="00123A4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оказание мер социальной поддержки пострадавшим и (или) семьям лиц, погибших в результате опасных природных явлений, стихийных </w:t>
      </w: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бедствий, катастроф, аварий, пожаров, террористических актов и иных чрезвычайных ситуаций на территории сельского поселения, повлекших тяжкие последствия;</w:t>
      </w:r>
    </w:p>
    <w:p w:rsidR="00123A40" w:rsidRDefault="00123A40" w:rsidP="00123A4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123A40" w:rsidRDefault="00123A40" w:rsidP="00123A4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проведение поисково-спасательных работ в зонах чрезвычайных ситуаций;</w:t>
      </w:r>
    </w:p>
    <w:p w:rsidR="00123A40" w:rsidRDefault="00123A40" w:rsidP="00123A4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123A40" w:rsidRDefault="00123A40" w:rsidP="00123A4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Средства, выделяемые из резервного фонда, используются строго по целевому назначению и не могут быть направлены на иные цели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.».</w:t>
      </w:r>
      <w:proofErr w:type="gramEnd"/>
    </w:p>
    <w:p w:rsidR="00123A40" w:rsidRDefault="00123A40" w:rsidP="00123A4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8. Для выделения средств из резервного фонда физическим, юридическим лицам, индивидуальным предпринимателям (далее - лицо) необходимо обратиться с заявлением в письменной форме на имя Главы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района Оренбургской области о выделении средств из резервного фонда с обоснованием причины и приложением обосновывающих документов (далее также пакет документов). </w:t>
      </w:r>
    </w:p>
    <w:p w:rsidR="00123A40" w:rsidRDefault="00123A40" w:rsidP="00123A4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9. В случае возникновения чрезвычайной ситуации, стихийного бедствия, пожара, лица, не позднее 30 календарных дней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с даты возникновения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чрезвычайной ситуации, стихийного бедствия, пожара могут обратиться в администрацию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района Оренбургской области с заявлением и необходимым пакетом документов о выделении средств из резервного фонда. </w:t>
      </w:r>
    </w:p>
    <w:p w:rsidR="00123A40" w:rsidRDefault="00123A40" w:rsidP="00123A4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10. Решение о выделении средств из резервного фонда принимается Главой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района Оренбургской области. </w:t>
      </w:r>
    </w:p>
    <w:p w:rsidR="00123A40" w:rsidRDefault="00123A40" w:rsidP="00123A4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11.Сроки принятия решения:</w:t>
      </w:r>
    </w:p>
    <w:p w:rsidR="00123A40" w:rsidRDefault="00123A40" w:rsidP="00123A4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11.1. Решение о выделении средств из резервного фонда должно быть принято не позднее 30-дневного срока с момента обращения лица с заявлением и полным пакетом документов.</w:t>
      </w:r>
    </w:p>
    <w:p w:rsidR="00123A40" w:rsidRDefault="00123A40" w:rsidP="00123A4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11.2. Решение о выделение средств из резервного фонда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проведение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аварийно-спасательных работ в зонах чрезвычайных ситуаций и стихийных бедствий принимается незамедлительно.</w:t>
      </w:r>
    </w:p>
    <w:p w:rsidR="00123A40" w:rsidRDefault="00123A40" w:rsidP="00123A4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12. Перечень и содержание обосновывающих документов (пакет документов) определяются согласно приложению 1 к настоящему Положению.</w:t>
      </w:r>
    </w:p>
    <w:p w:rsidR="00123A40" w:rsidRDefault="00123A40" w:rsidP="00123A4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13. Заявление и пакет документов возвращается лицу, подавшему заявление, в случае не предоставления лицом полного пакета документов и (или) документы содержат неполные и (или) недостоверные сведения. Повторное обращение возможно в случае устранения недостатков в обосновывающих документах в течение 10 дней с момента возврата заявления и пакета документов.</w:t>
      </w:r>
    </w:p>
    <w:p w:rsidR="00123A40" w:rsidRDefault="00123A40" w:rsidP="00123A4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14. По результатам принятого положительного решения издается постановление администрации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района Оренбургской области.</w:t>
      </w:r>
    </w:p>
    <w:p w:rsidR="00123A40" w:rsidRDefault="00123A40" w:rsidP="00123A4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14.2. Проект постановления администрации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района Оренбургской области о выделении средств из резервного фонда готовится специалистом администрации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района Оренбургской области. </w:t>
      </w:r>
    </w:p>
    <w:p w:rsidR="00123A40" w:rsidRDefault="00123A40" w:rsidP="00123A4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14.3. К проекту постановления администрации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района Оренбургской области прилагаются подтверждающие документы с обоснованием необходимости выделения средств, с указанием причин возникновения, с экономическими расчётами предстоящих непредвиденных расходов, объёмов работ и запрашиваемых средств, с приложением сметно-финансовых расчётов и другие документы. </w:t>
      </w:r>
    </w:p>
    <w:p w:rsidR="00123A40" w:rsidRDefault="00123A40" w:rsidP="00123A4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15. Основаниями для отказа в выделении средств из резервного фонда являются: </w:t>
      </w:r>
    </w:p>
    <w:p w:rsidR="00123A40" w:rsidRDefault="00123A40" w:rsidP="00123A4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-лицом повторно подан пакет документов с недостатками, указанными в пункте 13 настоящего Положения;</w:t>
      </w:r>
    </w:p>
    <w:p w:rsidR="00123A40" w:rsidRDefault="00123A40" w:rsidP="00123A4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 -нарушение срока устранения в обосновывающих документах недостатков, указанного в пункте 13 настоящего Положения;</w:t>
      </w:r>
    </w:p>
    <w:p w:rsidR="00123A40" w:rsidRDefault="00123A40" w:rsidP="00123A4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-наличие договора страхования объекта, пострадавшего в результате чрезвычайной ситуации, стихийного бедствия, пожара, а также договора страхования жизни и (или) здоровья; </w:t>
      </w:r>
    </w:p>
    <w:p w:rsidR="00123A40" w:rsidRDefault="00123A40" w:rsidP="00123A4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-возмещение вреда (ущерба) или понесённых расходов в натуральной или денежной форме в полном объеме из других источников;</w:t>
      </w:r>
    </w:p>
    <w:p w:rsidR="00123A40" w:rsidRDefault="00123A40" w:rsidP="00123A4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-отсутствие сре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>езервном фонде.</w:t>
      </w:r>
    </w:p>
    <w:p w:rsidR="00123A40" w:rsidRDefault="00123A40" w:rsidP="00123A4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16. Лицу, решение об отказе в выделении средств из резервного фонда направляется в письменной форме в течение 3 рабочих дней с момента принятия такого решения. </w:t>
      </w:r>
    </w:p>
    <w:p w:rsidR="00123A40" w:rsidRDefault="00123A40" w:rsidP="00123A4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23A40" w:rsidRDefault="00123A40" w:rsidP="00123A40">
      <w:pPr>
        <w:tabs>
          <w:tab w:val="left" w:pos="284"/>
        </w:tabs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IV. Содержание постановления администрации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b/>
          <w:kern w:val="2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района Оренбургской области, порядок расходования средств резервного фонда</w:t>
      </w:r>
    </w:p>
    <w:p w:rsidR="00123A40" w:rsidRDefault="00123A40" w:rsidP="00123A4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23A40" w:rsidRDefault="00123A40" w:rsidP="00123A4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17. В постановлении администрации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района Оренбургской области указывается: получатель средств, размер предоставляемых средств, цели осуществления расходов и источник предоставления средств – резервный фонд, должностное лицо, ответственное за осуществление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использованием предоставленных средств резервного фонда. </w:t>
      </w:r>
    </w:p>
    <w:p w:rsidR="00123A40" w:rsidRDefault="00123A40" w:rsidP="00123A4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18. Средства резервного фонда подлежат использованию по целевому назначению, определённому постановлением администрации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района Оренбургской области. 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 </w:t>
      </w:r>
    </w:p>
    <w:p w:rsidR="00123A40" w:rsidRDefault="00123A40" w:rsidP="00123A4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19. В случае обнаружения факта получения средств из резервного фонда получателем по документам, содержащих заведомо ложные сведения, получатель средств из резервного фонда несёт ответственность в соответствии с законодательством Российской Федерации. </w:t>
      </w:r>
    </w:p>
    <w:p w:rsidR="00123A40" w:rsidRDefault="00123A40" w:rsidP="00123A4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20.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использованием бюджетных ассигнований резервного фонда осуществляется главным распорядителем средств бюджета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Васильевский сельсовет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района Оренбургской области, органами муниципального финансового контроля в пределах своей компетенции.</w:t>
      </w:r>
    </w:p>
    <w:p w:rsidR="00123A40" w:rsidRDefault="00123A40" w:rsidP="00123A4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Получатели бюджетных средств резервного фонда в сроки, указанные в постановлении администрации о выделении бюджетных ассигнований резервного фонда, представляют отчет об использовании полученных средств, согласованный главным распорядителем средств бюджета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Васильевский сельсовет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района Оренбургской области в финансовый орган по форме согласно приложению № 2 к настоящему Положению.</w:t>
      </w:r>
    </w:p>
    <w:p w:rsidR="00123A40" w:rsidRDefault="00123A40" w:rsidP="00123A40">
      <w:pPr>
        <w:tabs>
          <w:tab w:val="left" w:pos="9214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Васильевский сельсовет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района Оренбургской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областипо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форме согласно приложению № 3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A40" w:rsidRDefault="00123A40" w:rsidP="00123A40">
      <w:pPr>
        <w:rPr>
          <w:rFonts w:ascii="Times New Roman" w:hAnsi="Times New Roman" w:cs="Times New Roman"/>
          <w:sz w:val="20"/>
          <w:szCs w:val="20"/>
        </w:rPr>
      </w:pPr>
    </w:p>
    <w:p w:rsidR="00123A40" w:rsidRDefault="00123A40" w:rsidP="00123A40">
      <w:pPr>
        <w:rPr>
          <w:rFonts w:ascii="Times New Roman" w:hAnsi="Times New Roman" w:cs="Times New Roman"/>
        </w:rPr>
      </w:pPr>
    </w:p>
    <w:p w:rsidR="00123A40" w:rsidRDefault="00123A40" w:rsidP="00123A40">
      <w:pPr>
        <w:rPr>
          <w:rFonts w:ascii="Times New Roman" w:hAnsi="Times New Roman" w:cs="Times New Roman"/>
        </w:rPr>
      </w:pPr>
    </w:p>
    <w:p w:rsidR="00123A40" w:rsidRDefault="00123A40" w:rsidP="00123A40">
      <w:pPr>
        <w:rPr>
          <w:rFonts w:ascii="Times New Roman" w:hAnsi="Times New Roman" w:cs="Times New Roman"/>
        </w:rPr>
      </w:pPr>
    </w:p>
    <w:p w:rsidR="00123A40" w:rsidRDefault="00123A40" w:rsidP="00123A40">
      <w:pPr>
        <w:rPr>
          <w:rFonts w:ascii="Times New Roman" w:hAnsi="Times New Roman" w:cs="Times New Roman"/>
        </w:rPr>
      </w:pPr>
    </w:p>
    <w:p w:rsidR="00123A40" w:rsidRDefault="00123A40" w:rsidP="00123A40">
      <w:pPr>
        <w:rPr>
          <w:rFonts w:ascii="Times New Roman" w:hAnsi="Times New Roman" w:cs="Times New Roman"/>
        </w:rPr>
      </w:pPr>
    </w:p>
    <w:p w:rsidR="00123A40" w:rsidRDefault="00123A40" w:rsidP="00123A40">
      <w:pPr>
        <w:rPr>
          <w:rFonts w:ascii="Times New Roman" w:hAnsi="Times New Roman" w:cs="Times New Roman"/>
        </w:rPr>
      </w:pPr>
    </w:p>
    <w:p w:rsidR="00123A40" w:rsidRDefault="00123A40" w:rsidP="00123A40">
      <w:pPr>
        <w:rPr>
          <w:rFonts w:ascii="Times New Roman" w:hAnsi="Times New Roman" w:cs="Times New Roman"/>
        </w:rPr>
      </w:pPr>
    </w:p>
    <w:p w:rsidR="00123A40" w:rsidRDefault="00123A40" w:rsidP="00123A40">
      <w:pPr>
        <w:rPr>
          <w:rFonts w:ascii="Times New Roman" w:hAnsi="Times New Roman" w:cs="Times New Roman"/>
        </w:rPr>
      </w:pPr>
    </w:p>
    <w:p w:rsidR="00123A40" w:rsidRDefault="00123A40" w:rsidP="00123A40">
      <w:pPr>
        <w:rPr>
          <w:rFonts w:ascii="Times New Roman" w:hAnsi="Times New Roman" w:cs="Times New Roman"/>
        </w:rPr>
      </w:pPr>
    </w:p>
    <w:p w:rsidR="00123A40" w:rsidRDefault="00123A40" w:rsidP="00123A40">
      <w:pPr>
        <w:rPr>
          <w:rFonts w:ascii="Times New Roman" w:hAnsi="Times New Roman" w:cs="Times New Roman"/>
        </w:rPr>
      </w:pPr>
    </w:p>
    <w:p w:rsidR="00123A40" w:rsidRDefault="00123A40" w:rsidP="00123A40">
      <w:pPr>
        <w:rPr>
          <w:rFonts w:ascii="Times New Roman" w:hAnsi="Times New Roman" w:cs="Times New Roman"/>
        </w:rPr>
      </w:pPr>
    </w:p>
    <w:p w:rsidR="00123A40" w:rsidRDefault="00123A40" w:rsidP="00123A40">
      <w:pPr>
        <w:rPr>
          <w:rFonts w:ascii="Times New Roman" w:hAnsi="Times New Roman" w:cs="Times New Roman"/>
        </w:rPr>
      </w:pPr>
    </w:p>
    <w:p w:rsidR="00123A40" w:rsidRDefault="00123A40" w:rsidP="00123A40">
      <w:pPr>
        <w:rPr>
          <w:rFonts w:ascii="Times New Roman" w:hAnsi="Times New Roman" w:cs="Times New Roman"/>
        </w:rPr>
      </w:pPr>
      <w:bookmarkStart w:id="0" w:name="_GoBack"/>
      <w:bookmarkEnd w:id="0"/>
    </w:p>
    <w:p w:rsidR="00123A40" w:rsidRDefault="00123A40" w:rsidP="00123A40">
      <w:pPr>
        <w:rPr>
          <w:rFonts w:ascii="Times New Roman" w:hAnsi="Times New Roman" w:cs="Times New Roman"/>
        </w:rPr>
      </w:pPr>
    </w:p>
    <w:p w:rsidR="00123A40" w:rsidRDefault="00123A40" w:rsidP="00123A40">
      <w:pPr>
        <w:rPr>
          <w:rFonts w:ascii="Times New Roman" w:hAnsi="Times New Roman" w:cs="Times New Roman"/>
        </w:rPr>
      </w:pPr>
    </w:p>
    <w:p w:rsidR="00123A40" w:rsidRDefault="00123A40" w:rsidP="00123A40">
      <w:pPr>
        <w:rPr>
          <w:rFonts w:ascii="Times New Roman" w:hAnsi="Times New Roman" w:cs="Times New Roman"/>
        </w:rPr>
      </w:pPr>
    </w:p>
    <w:p w:rsidR="00123A40" w:rsidRDefault="00123A40" w:rsidP="00123A4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Приложение 1 </w:t>
      </w:r>
    </w:p>
    <w:p w:rsidR="00123A40" w:rsidRDefault="00123A40" w:rsidP="00123A40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Положению о порядке</w:t>
      </w:r>
    </w:p>
    <w:p w:rsidR="00123A40" w:rsidRDefault="00123A40" w:rsidP="00123A40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расходования средств резервного фонда </w:t>
      </w:r>
    </w:p>
    <w:p w:rsidR="00123A40" w:rsidRDefault="00123A40" w:rsidP="00123A40">
      <w:pPr>
        <w:pStyle w:val="a5"/>
        <w:jc w:val="right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муниципального образования</w:t>
      </w:r>
    </w:p>
    <w:p w:rsidR="00123A40" w:rsidRDefault="00123A40" w:rsidP="00123A40">
      <w:pPr>
        <w:pStyle w:val="a5"/>
        <w:jc w:val="right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Васильевский сельсовет</w:t>
      </w:r>
    </w:p>
    <w:p w:rsidR="00123A40" w:rsidRDefault="00123A40" w:rsidP="00123A40">
      <w:pPr>
        <w:pStyle w:val="a5"/>
        <w:jc w:val="right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Саракташского</w:t>
      </w:r>
      <w:proofErr w:type="spellEnd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района</w:t>
      </w:r>
    </w:p>
    <w:p w:rsidR="00123A40" w:rsidRDefault="00123A40" w:rsidP="00123A40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Оренбургской области </w:t>
      </w:r>
    </w:p>
    <w:p w:rsidR="00123A40" w:rsidRDefault="00123A40" w:rsidP="00123A40">
      <w:pPr>
        <w:spacing w:before="2"/>
        <w:jc w:val="both"/>
        <w:rPr>
          <w:rFonts w:ascii="Times New Roman" w:hAnsi="Times New Roman" w:cs="Times New Roman"/>
          <w:sz w:val="28"/>
          <w:szCs w:val="28"/>
        </w:rPr>
      </w:pPr>
    </w:p>
    <w:p w:rsidR="00123A40" w:rsidRDefault="00123A40" w:rsidP="00123A40">
      <w:pPr>
        <w:ind w:left="503" w:right="1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ПЕРЕЧЕНЬ</w:t>
      </w:r>
    </w:p>
    <w:p w:rsidR="00123A40" w:rsidRDefault="00123A40" w:rsidP="00123A40">
      <w:pPr>
        <w:ind w:left="503" w:right="1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документов, предоставляемых лицами для получения средств из резервного фонда администрации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Оренбургской области</w:t>
      </w:r>
    </w:p>
    <w:p w:rsidR="00123A40" w:rsidRDefault="00123A40" w:rsidP="00123A40">
      <w:pPr>
        <w:ind w:left="503" w:right="197"/>
        <w:jc w:val="center"/>
        <w:rPr>
          <w:rFonts w:ascii="Times New Roman" w:hAnsi="Times New Roman" w:cs="Times New Roman"/>
          <w:sz w:val="28"/>
          <w:szCs w:val="28"/>
        </w:rPr>
      </w:pPr>
    </w:p>
    <w:p w:rsidR="00123A40" w:rsidRDefault="00123A40" w:rsidP="00123A40">
      <w:pPr>
        <w:spacing w:before="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A40" w:rsidRDefault="00123A40" w:rsidP="00123A40">
      <w:pPr>
        <w:numPr>
          <w:ilvl w:val="0"/>
          <w:numId w:val="1"/>
        </w:numPr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Для физических лиц при обращении за выплатой единовременной материальной помощи:</w:t>
      </w:r>
    </w:p>
    <w:p w:rsidR="00123A40" w:rsidRDefault="00123A40" w:rsidP="00123A40">
      <w:pPr>
        <w:ind w:lef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-заявление, которое должно содержать следующую информацию:</w:t>
      </w:r>
    </w:p>
    <w:p w:rsidR="00123A40" w:rsidRDefault="00123A40" w:rsidP="00123A4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-сведение о лице и членах его семьи (</w:t>
      </w:r>
      <w:r>
        <w:rPr>
          <w:rFonts w:ascii="Times New Roman" w:hAnsi="Times New Roman" w:cs="Times New Roman"/>
          <w:sz w:val="28"/>
          <w:szCs w:val="28"/>
        </w:rPr>
        <w:t>фамилия, имя, отчество (при наличии), фактический адрес проживания, телефон, иные контактные данные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123A40" w:rsidRDefault="00123A40" w:rsidP="00123A4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-обстоятельства, послужившие обращению с заявлением;</w:t>
      </w:r>
    </w:p>
    <w:p w:rsidR="00123A40" w:rsidRDefault="00123A40" w:rsidP="00123A4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 размере вреда (ущерба) и понесённые расходы для его возмещения;</w:t>
      </w:r>
    </w:p>
    <w:p w:rsidR="00123A40" w:rsidRDefault="00123A40" w:rsidP="00123A4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 факте чрезвычайной ситуации, стихийном бедствии, пожаре;</w:t>
      </w:r>
    </w:p>
    <w:p w:rsidR="00123A40" w:rsidRDefault="00123A40" w:rsidP="00123A40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 выделении средств из резервного фонда прилагаются следующие документы:</w:t>
      </w:r>
    </w:p>
    <w:p w:rsidR="00123A40" w:rsidRDefault="00123A40" w:rsidP="00123A4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3"/>
          <w:szCs w:val="23"/>
        </w:rPr>
        <w:t xml:space="preserve">-  </w:t>
      </w:r>
      <w:r>
        <w:rPr>
          <w:rFonts w:ascii="Times New Roman" w:hAnsi="Times New Roman" w:cs="Times New Roman"/>
          <w:sz w:val="28"/>
          <w:szCs w:val="28"/>
        </w:rPr>
        <w:t>документы, удостоверяющие личность лица;</w:t>
      </w:r>
    </w:p>
    <w:p w:rsidR="00123A40" w:rsidRDefault="00123A40" w:rsidP="00123A4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справка о составе семьи;</w:t>
      </w:r>
    </w:p>
    <w:p w:rsidR="00123A40" w:rsidRDefault="00123A40" w:rsidP="00123A4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правоустанавливающие документы на пострадавший объект недвижимости;</w:t>
      </w:r>
    </w:p>
    <w:p w:rsidR="00123A40" w:rsidRDefault="00123A40" w:rsidP="00123A4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-документы, подтверждающие место регистрации и место жительства заявителя на территории муниципального образования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Васильевский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 xml:space="preserve">сельсовет </w:t>
      </w:r>
      <w:proofErr w:type="spellStart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 заявителя и членов его семьи;</w:t>
      </w:r>
    </w:p>
    <w:p w:rsidR="00123A40" w:rsidRDefault="00123A40" w:rsidP="00123A4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-документы, послужившие основанием для обращения (заключения, экспертизы, справки и др.);</w:t>
      </w:r>
    </w:p>
    <w:p w:rsidR="00123A40" w:rsidRDefault="00123A40" w:rsidP="00123A4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-документы, подтверждающие факт произошедшей чрезвычайной ситуации, стихийного бедствия или пожара;</w:t>
      </w:r>
    </w:p>
    <w:p w:rsidR="00123A40" w:rsidRDefault="00123A40" w:rsidP="00123A4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-обязательство лица о факте отсутствия </w:t>
      </w:r>
      <w:r>
        <w:rPr>
          <w:rFonts w:ascii="Times New Roman" w:hAnsi="Times New Roman" w:cs="Times New Roman"/>
          <w:color w:val="000000"/>
          <w:sz w:val="28"/>
          <w:szCs w:val="28"/>
        </w:rPr>
        <w:t>договора страхования объекта, пострадавшего в результате чрезвычайной ситуации, стихийного бедствия, пожара, а также договора страхования жизни и здоровья;</w:t>
      </w:r>
    </w:p>
    <w:p w:rsidR="00123A40" w:rsidRDefault="00123A40" w:rsidP="00123A4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-подтверждающие документы о возмещении вреда (ущерба) или понесённых расходов в натуральной или денежной форме из других источников (справки, копии договоров и др.)  или обязательство о неполучении помощи из других источников; </w:t>
      </w:r>
    </w:p>
    <w:p w:rsidR="00123A40" w:rsidRDefault="00123A40" w:rsidP="00123A4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-сведения о лицевом счете для перечисления материальной помощи;</w:t>
      </w:r>
    </w:p>
    <w:p w:rsidR="00123A40" w:rsidRDefault="00123A40" w:rsidP="00123A4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-доверенность (иной документ) представителя, если от имени лица действует его представитель;</w:t>
      </w:r>
    </w:p>
    <w:p w:rsidR="00123A40" w:rsidRDefault="00123A40" w:rsidP="00123A4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-согласие на обработку персональных данных.</w:t>
      </w:r>
    </w:p>
    <w:p w:rsidR="00123A40" w:rsidRDefault="00123A40" w:rsidP="00123A40">
      <w:pPr>
        <w:tabs>
          <w:tab w:val="left" w:pos="1258"/>
        </w:tabs>
        <w:spacing w:before="2"/>
        <w:ind w:right="9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Для юридических лиц, индивидуальных предпринимателей:</w:t>
      </w:r>
    </w:p>
    <w:p w:rsidR="00123A40" w:rsidRDefault="00123A40" w:rsidP="00123A40">
      <w:pPr>
        <w:tabs>
          <w:tab w:val="left" w:pos="1258"/>
        </w:tabs>
        <w:spacing w:before="2"/>
        <w:ind w:right="91"/>
        <w:jc w:val="both"/>
        <w:rPr>
          <w:rFonts w:ascii="Times New Roman" w:hAnsi="Times New Roman" w:cs="Times New Roman"/>
          <w:sz w:val="28"/>
          <w:szCs w:val="28"/>
        </w:rPr>
      </w:pPr>
    </w:p>
    <w:p w:rsidR="00123A40" w:rsidRDefault="00123A40" w:rsidP="00123A40">
      <w:pPr>
        <w:ind w:lef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-заявление, подписанное уполномоченным лицом и которое должно содержать следующую информацию:</w:t>
      </w:r>
    </w:p>
    <w:p w:rsidR="00123A40" w:rsidRDefault="00123A40" w:rsidP="00123A4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-сведение о лице (</w:t>
      </w:r>
      <w:r>
        <w:rPr>
          <w:rFonts w:ascii="Times New Roman" w:hAnsi="Times New Roman" w:cs="Times New Roman"/>
          <w:sz w:val="28"/>
          <w:szCs w:val="28"/>
        </w:rPr>
        <w:t>наименование, ИНН, ОГРН, телефон, иные контактные данные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123A40" w:rsidRDefault="00123A40" w:rsidP="00123A4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-обстоятельства, послужившие обращению с заявлением;</w:t>
      </w:r>
    </w:p>
    <w:p w:rsidR="00123A40" w:rsidRDefault="00123A40" w:rsidP="00123A4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 размере материального ущерба (понесённых расходов);</w:t>
      </w:r>
    </w:p>
    <w:p w:rsidR="00123A40" w:rsidRDefault="00123A40" w:rsidP="00123A4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-о факте чрезвычайной ситуации, стихийном бедствии, пожаре или обстоятельствах, которые могут привести к нарушению функционированию систем жизнеобеспечения населения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области.</w:t>
      </w:r>
    </w:p>
    <w:p w:rsidR="00123A40" w:rsidRDefault="00123A40" w:rsidP="00123A40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заявлению о выделении средств из резервного фонда прилагаются следующие документы:</w:t>
      </w:r>
    </w:p>
    <w:p w:rsidR="00123A40" w:rsidRDefault="00123A40" w:rsidP="00123A4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правоустанавливающие документы на пострадавший объект недвижимости;</w:t>
      </w:r>
    </w:p>
    <w:p w:rsidR="00123A40" w:rsidRDefault="00123A40" w:rsidP="00123A4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-документы, послужившие основанием для обращения (заключения, экспертизы, справки и др.);</w:t>
      </w:r>
    </w:p>
    <w:p w:rsidR="00123A40" w:rsidRDefault="00123A40" w:rsidP="00123A4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документы, подтверждающие факт произошедшей чрезвычайной ситуации, стихийного бедствия;</w:t>
      </w:r>
    </w:p>
    <w:p w:rsidR="00123A40" w:rsidRDefault="00123A40" w:rsidP="00123A4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расчётном счете для перечисления средств из резервного фонда;</w:t>
      </w:r>
    </w:p>
    <w:p w:rsidR="00123A40" w:rsidRDefault="00123A40" w:rsidP="00123A4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доверенность (иной документ) представителя, если от имени лица действует представитель;</w:t>
      </w:r>
    </w:p>
    <w:p w:rsidR="00123A40" w:rsidRDefault="00123A40" w:rsidP="00123A40">
      <w:pPr>
        <w:tabs>
          <w:tab w:val="left" w:pos="1258"/>
        </w:tabs>
        <w:spacing w:before="2" w:after="240"/>
        <w:ind w:right="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счета–фактуры, приказы на проведение работ с приложением расчётов произведённых затрат(при проведении аварийно-спасательных работ);</w:t>
      </w:r>
    </w:p>
    <w:p w:rsidR="00123A40" w:rsidRDefault="00123A40" w:rsidP="00123A40">
      <w:pPr>
        <w:tabs>
          <w:tab w:val="left" w:pos="1258"/>
        </w:tabs>
        <w:spacing w:before="2" w:after="240"/>
        <w:ind w:right="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подтверждающие документы о возмещении вреда (ущерба) или понесённых расходов в натуральной или денежной форме из других источников (справки, копии договоров и др.)  или обязательство о не возмещении вреда (ущерба) или понесённых расходов в натуральной или денежной форме из других источников;</w:t>
      </w:r>
    </w:p>
    <w:p w:rsidR="00123A40" w:rsidRDefault="00123A40" w:rsidP="00123A40">
      <w:pPr>
        <w:tabs>
          <w:tab w:val="left" w:pos="1258"/>
        </w:tabs>
        <w:ind w:right="91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Копии договоров страхования гражданской ответственности организаций, эксплуатирующих опасные производственные объекты (при причинении вреда жизни, здоровью или имуществу третьих лиц и окружающей природной среде).</w:t>
      </w:r>
    </w:p>
    <w:p w:rsidR="00123A40" w:rsidRDefault="00123A40" w:rsidP="00123A40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  <w:sectPr w:rsidR="00123A40">
          <w:pgSz w:w="11910" w:h="16840"/>
          <w:pgMar w:top="1134" w:right="851" w:bottom="1134" w:left="1701" w:header="720" w:footer="720" w:gutter="0"/>
          <w:cols w:space="720"/>
        </w:sectPr>
      </w:pPr>
    </w:p>
    <w:p w:rsidR="00123A40" w:rsidRDefault="00123A40" w:rsidP="00123A4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23A40" w:rsidRDefault="00123A40" w:rsidP="00123A40">
      <w:pPr>
        <w:pStyle w:val="a5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порядке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использования</w:t>
      </w:r>
    </w:p>
    <w:p w:rsidR="00123A40" w:rsidRDefault="00123A40" w:rsidP="00123A40">
      <w:pPr>
        <w:pStyle w:val="a5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бюджетных ассигнований резервного фонда</w:t>
      </w:r>
    </w:p>
    <w:p w:rsidR="00123A40" w:rsidRDefault="00123A40" w:rsidP="00123A40">
      <w:pPr>
        <w:pStyle w:val="a5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kern w:val="2"/>
          <w:sz w:val="24"/>
          <w:szCs w:val="24"/>
        </w:rPr>
        <w:t>Васильевский сельсовет</w:t>
      </w:r>
    </w:p>
    <w:p w:rsidR="00123A40" w:rsidRDefault="00123A40" w:rsidP="00123A40">
      <w:pPr>
        <w:pStyle w:val="a5"/>
        <w:jc w:val="right"/>
        <w:rPr>
          <w:kern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Саракташского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 района Оренбургской области</w:t>
      </w:r>
    </w:p>
    <w:p w:rsidR="00123A40" w:rsidRDefault="00123A40" w:rsidP="00123A40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23"/>
      <w:bookmarkEnd w:id="1"/>
      <w:r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br/>
        <w:t>получателя бюджетных ассигнований резервного фонда об использовании бюджетных ассигнований резервного фонда.</w:t>
      </w:r>
    </w:p>
    <w:p w:rsidR="00123A40" w:rsidRDefault="00123A40" w:rsidP="00123A40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23A40" w:rsidRDefault="00123A40" w:rsidP="00123A40">
      <w:pPr>
        <w:tabs>
          <w:tab w:val="left" w:pos="284"/>
        </w:tabs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получателя бюджетных средств)</w:t>
      </w:r>
    </w:p>
    <w:p w:rsidR="00123A40" w:rsidRDefault="00123A40" w:rsidP="00123A40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________________ 20___ г.</w:t>
      </w:r>
    </w:p>
    <w:p w:rsidR="00123A40" w:rsidRDefault="00123A40" w:rsidP="00123A40">
      <w:pPr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руб.</w:t>
      </w:r>
    </w:p>
    <w:tbl>
      <w:tblPr>
        <w:tblW w:w="145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2409"/>
        <w:gridCol w:w="1700"/>
        <w:gridCol w:w="1700"/>
        <w:gridCol w:w="1134"/>
        <w:gridCol w:w="2267"/>
        <w:gridCol w:w="1417"/>
        <w:gridCol w:w="1274"/>
        <w:gridCol w:w="1984"/>
      </w:tblGrid>
      <w:tr w:rsidR="00123A40" w:rsidTr="00123A4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40" w:rsidRDefault="00123A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40" w:rsidRDefault="00123A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Основание выделения средств (№ и дата распоряжения о выделении бюджетных ассигнований)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40" w:rsidRDefault="00123A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выделения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40" w:rsidRDefault="00123A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по основанию выделения средств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40" w:rsidRDefault="00123A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Кассовый расход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40" w:rsidRDefault="00123A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и дата муниципального контракта,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40" w:rsidRDefault="00123A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Остаток неиспользованных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40" w:rsidRDefault="00123A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Примечание </w:t>
            </w:r>
            <w:hyperlink r:id="rId6" w:anchor="Par30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&lt;*&gt;</w:t>
              </w:r>
            </w:hyperlink>
          </w:p>
        </w:tc>
      </w:tr>
      <w:tr w:rsidR="00123A40" w:rsidTr="00123A40">
        <w:trPr>
          <w:trHeight w:val="17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40" w:rsidRDefault="001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40" w:rsidRDefault="001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40" w:rsidRDefault="001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40" w:rsidRDefault="001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40" w:rsidRDefault="00123A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40" w:rsidRDefault="00123A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и дата платежных поручений, подтверждающих осуществление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40" w:rsidRDefault="001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40" w:rsidRDefault="001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40" w:rsidRDefault="001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23A40" w:rsidTr="00123A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0" w:rsidRDefault="00123A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0" w:rsidRDefault="00123A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0" w:rsidRDefault="00123A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0" w:rsidRDefault="00123A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0" w:rsidRDefault="00123A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0" w:rsidRDefault="00123A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0" w:rsidRDefault="00123A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0" w:rsidRDefault="00123A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0" w:rsidRDefault="00123A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23A40" w:rsidRDefault="00123A40" w:rsidP="00123A40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A40" w:rsidRDefault="00123A40" w:rsidP="00123A40">
      <w:pPr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23A40" w:rsidRDefault="00123A40" w:rsidP="00123A40">
      <w:pPr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0"/>
      <w:bookmarkEnd w:id="2"/>
      <w:r>
        <w:rPr>
          <w:rFonts w:ascii="Times New Roman" w:hAnsi="Times New Roman" w:cs="Times New Roman"/>
          <w:sz w:val="28"/>
          <w:szCs w:val="28"/>
        </w:rPr>
        <w:t>&lt;*&gt; В случае неполного расходования средств резервного фонда указывается причина, дата возврата неиспользованных средств и пр.</w:t>
      </w:r>
    </w:p>
    <w:tbl>
      <w:tblPr>
        <w:tblW w:w="1481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8155"/>
        <w:gridCol w:w="567"/>
        <w:gridCol w:w="1171"/>
        <w:gridCol w:w="993"/>
        <w:gridCol w:w="3931"/>
      </w:tblGrid>
      <w:tr w:rsidR="00123A40" w:rsidTr="00123A40">
        <w:trPr>
          <w:trHeight w:val="404"/>
        </w:trPr>
        <w:tc>
          <w:tcPr>
            <w:tcW w:w="815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3A40" w:rsidRDefault="00123A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Руководитель  получателя средств резервного фонда</w:t>
            </w:r>
          </w:p>
        </w:tc>
        <w:tc>
          <w:tcPr>
            <w:tcW w:w="567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3A40" w:rsidRDefault="00123A4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  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single" w:sz="4" w:space="0" w:color="auto"/>
              <w:right w:val="nil"/>
            </w:tcBorders>
          </w:tcPr>
          <w:p w:rsidR="00123A40" w:rsidRDefault="00123A4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123A40" w:rsidRDefault="00123A4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1" w:type="dxa"/>
            <w:tcBorders>
              <w:top w:val="single" w:sz="6" w:space="0" w:color="DDDDDD"/>
              <w:left w:val="nil"/>
              <w:bottom w:val="single" w:sz="4" w:space="0" w:color="auto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A40" w:rsidRDefault="00123A40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23A40" w:rsidTr="00123A40">
        <w:trPr>
          <w:trHeight w:val="241"/>
        </w:trPr>
        <w:tc>
          <w:tcPr>
            <w:tcW w:w="8155" w:type="dxa"/>
            <w:tcBorders>
              <w:top w:val="nil"/>
              <w:left w:val="single" w:sz="6" w:space="0" w:color="DDDDDD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23A40" w:rsidRDefault="00123A4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23A40" w:rsidRDefault="00123A4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3A40" w:rsidRDefault="00123A40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23A40" w:rsidRDefault="00123A4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nil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3A40" w:rsidRDefault="00123A40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(расшифровка подписи)</w:t>
            </w:r>
          </w:p>
        </w:tc>
      </w:tr>
      <w:tr w:rsidR="00123A40" w:rsidTr="00123A40">
        <w:trPr>
          <w:trHeight w:val="397"/>
        </w:trPr>
        <w:tc>
          <w:tcPr>
            <w:tcW w:w="8155" w:type="dxa"/>
            <w:tcBorders>
              <w:top w:val="nil"/>
              <w:left w:val="single" w:sz="6" w:space="0" w:color="DDDDDD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3A40" w:rsidRDefault="00123A4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главного распорядителя 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3A40" w:rsidRDefault="00123A4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 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23A40" w:rsidRDefault="00123A40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23A40" w:rsidRDefault="00123A4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23A40" w:rsidRDefault="00123A40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23A40" w:rsidTr="00123A40">
        <w:tc>
          <w:tcPr>
            <w:tcW w:w="815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23A40" w:rsidRDefault="00123A4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23A40" w:rsidRDefault="00123A4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6" w:space="0" w:color="DDDDDD"/>
              <w:right w:val="nil"/>
            </w:tcBorders>
            <w:hideMark/>
          </w:tcPr>
          <w:p w:rsidR="00123A40" w:rsidRDefault="00123A40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DDDDDD"/>
              <w:right w:val="nil"/>
            </w:tcBorders>
          </w:tcPr>
          <w:p w:rsidR="00123A40" w:rsidRDefault="00123A4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3A40" w:rsidRDefault="00123A40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(расшифровка подписи)</w:t>
            </w:r>
          </w:p>
        </w:tc>
      </w:tr>
    </w:tbl>
    <w:p w:rsidR="00123A40" w:rsidRDefault="00123A40" w:rsidP="00123A40">
      <w:pPr>
        <w:tabs>
          <w:tab w:val="left" w:pos="284"/>
        </w:tabs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(ФИО) тел.</w:t>
      </w:r>
    </w:p>
    <w:p w:rsidR="00123A40" w:rsidRDefault="00123A40" w:rsidP="00123A40">
      <w:pPr>
        <w:spacing w:after="0"/>
        <w:rPr>
          <w:rFonts w:ascii="Times New Roman" w:hAnsi="Times New Roman" w:cs="Times New Roman"/>
          <w:sz w:val="28"/>
          <w:szCs w:val="28"/>
        </w:rPr>
        <w:sectPr w:rsidR="00123A40">
          <w:type w:val="continuous"/>
          <w:pgSz w:w="16838" w:h="11906" w:orient="landscape"/>
          <w:pgMar w:top="709" w:right="1134" w:bottom="567" w:left="1134" w:header="708" w:footer="708" w:gutter="0"/>
          <w:pgNumType w:start="1"/>
          <w:cols w:space="720"/>
        </w:sectPr>
      </w:pPr>
    </w:p>
    <w:p w:rsidR="00123A40" w:rsidRDefault="00123A40" w:rsidP="00123A4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23A40" w:rsidRDefault="00123A40" w:rsidP="00123A40">
      <w:pPr>
        <w:pStyle w:val="a5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порядке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использования</w:t>
      </w:r>
    </w:p>
    <w:p w:rsidR="00123A40" w:rsidRDefault="00123A40" w:rsidP="00123A40">
      <w:pPr>
        <w:pStyle w:val="a5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бюджетных ассигнований резервного фонда</w:t>
      </w:r>
    </w:p>
    <w:p w:rsidR="00123A40" w:rsidRDefault="00123A40" w:rsidP="00123A40">
      <w:pPr>
        <w:pStyle w:val="a5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kern w:val="2"/>
          <w:sz w:val="24"/>
          <w:szCs w:val="24"/>
        </w:rPr>
        <w:t>Васильевский сельсовет</w:t>
      </w:r>
    </w:p>
    <w:p w:rsidR="00123A40" w:rsidRDefault="00123A40" w:rsidP="00123A40">
      <w:pPr>
        <w:pStyle w:val="a5"/>
        <w:jc w:val="right"/>
        <w:rPr>
          <w:kern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Саракташского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 района Оренбургской области</w:t>
      </w:r>
    </w:p>
    <w:p w:rsidR="00123A40" w:rsidRDefault="00123A40" w:rsidP="00123A40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23A40" w:rsidRDefault="00123A40" w:rsidP="00123A40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123A40" w:rsidRDefault="00123A40" w:rsidP="00123A40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резервного фонда</w:t>
      </w: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467"/>
        <w:gridCol w:w="1843"/>
      </w:tblGrid>
      <w:tr w:rsidR="00123A40" w:rsidTr="00123A40"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40" w:rsidRDefault="00123A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40" w:rsidRDefault="00123A40">
            <w:pPr>
              <w:tabs>
                <w:tab w:val="left" w:pos="284"/>
              </w:tabs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Сумма,</w:t>
            </w:r>
          </w:p>
          <w:p w:rsidR="00123A40" w:rsidRDefault="00123A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рублей</w:t>
            </w:r>
          </w:p>
        </w:tc>
      </w:tr>
      <w:tr w:rsidR="00123A40" w:rsidTr="00123A40"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40" w:rsidRDefault="00123A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 Размер бюджетных ассигнований резервного фонда муниципального образования </w:t>
            </w:r>
            <w:r>
              <w:rPr>
                <w:rFonts w:ascii="Times New Roman" w:hAnsi="Times New Roman" w:cs="Times New Roman"/>
                <w:kern w:val="2"/>
                <w:lang w:eastAsia="en-US"/>
              </w:rPr>
              <w:t xml:space="preserve">Васильевский сельсовет </w:t>
            </w:r>
            <w:proofErr w:type="spellStart"/>
            <w:r>
              <w:rPr>
                <w:rFonts w:ascii="Times New Roman" w:hAnsi="Times New Roman" w:cs="Times New Roman"/>
                <w:kern w:val="2"/>
                <w:lang w:eastAsia="en-US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kern w:val="2"/>
                <w:lang w:eastAsia="en-US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установленный решением Совета депутатов </w:t>
            </w:r>
            <w:r>
              <w:rPr>
                <w:rFonts w:ascii="Times New Roman" w:hAnsi="Times New Roman" w:cs="Times New Roman"/>
                <w:kern w:val="2"/>
                <w:lang w:eastAsia="en-US"/>
              </w:rPr>
              <w:t xml:space="preserve">Васильевского сельсовета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о бюджете муниципального образования </w:t>
            </w:r>
            <w:r>
              <w:rPr>
                <w:rFonts w:ascii="Times New Roman" w:hAnsi="Times New Roman" w:cs="Times New Roman"/>
                <w:kern w:val="2"/>
                <w:lang w:eastAsia="en-US"/>
              </w:rPr>
              <w:t xml:space="preserve">Васильевский сельсовет </w:t>
            </w:r>
            <w:proofErr w:type="spellStart"/>
            <w:r>
              <w:rPr>
                <w:rFonts w:ascii="Times New Roman" w:hAnsi="Times New Roman" w:cs="Times New Roman"/>
                <w:kern w:val="2"/>
                <w:lang w:eastAsia="en-US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kern w:val="2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0" w:rsidRDefault="00123A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23A40" w:rsidTr="00123A40">
        <w:trPr>
          <w:trHeight w:val="500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40" w:rsidRDefault="00123A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 Распределенный размер бюджетных ассигнований резервного фонда муниципального образования </w:t>
            </w:r>
            <w:r>
              <w:rPr>
                <w:rFonts w:ascii="Times New Roman" w:hAnsi="Times New Roman" w:cs="Times New Roman"/>
                <w:kern w:val="2"/>
                <w:lang w:eastAsia="en-US"/>
              </w:rPr>
              <w:t xml:space="preserve">Васильевский сельсовет </w:t>
            </w:r>
            <w:proofErr w:type="spellStart"/>
            <w:r>
              <w:rPr>
                <w:rFonts w:ascii="Times New Roman" w:hAnsi="Times New Roman" w:cs="Times New Roman"/>
                <w:kern w:val="2"/>
                <w:lang w:eastAsia="en-US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kern w:val="2"/>
                <w:lang w:eastAsia="en-US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lang w:eastAsia="en-US"/>
              </w:rPr>
              <w:t>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0" w:rsidRDefault="00123A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23A40" w:rsidTr="00123A40">
        <w:trPr>
          <w:trHeight w:val="157"/>
        </w:trPr>
        <w:tc>
          <w:tcPr>
            <w:tcW w:w="1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40" w:rsidRDefault="00123A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</w:tr>
      <w:tr w:rsidR="00123A40" w:rsidTr="00123A40">
        <w:trPr>
          <w:trHeight w:val="235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40" w:rsidRDefault="00123A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 На проведение аварийно-восстановительных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0" w:rsidRDefault="00123A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23A40" w:rsidTr="00123A40">
        <w:trPr>
          <w:trHeight w:val="312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40" w:rsidRDefault="00123A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2.2. Проведение иных мероприятий, связанных с ликвидацией последствий стихийных бедствий и других чрезвычайных ситуаций на территории муниципального образования </w:t>
            </w:r>
            <w:r>
              <w:rPr>
                <w:rFonts w:ascii="Times New Roman" w:hAnsi="Times New Roman" w:cs="Times New Roman"/>
                <w:kern w:val="2"/>
                <w:lang w:eastAsia="en-US"/>
              </w:rPr>
              <w:t xml:space="preserve">Васильевский  сельсовет </w:t>
            </w:r>
            <w:proofErr w:type="spellStart"/>
            <w:r>
              <w:rPr>
                <w:rFonts w:ascii="Times New Roman" w:hAnsi="Times New Roman" w:cs="Times New Roman"/>
                <w:kern w:val="2"/>
                <w:lang w:eastAsia="en-US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kern w:val="2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0" w:rsidRDefault="00123A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23A40" w:rsidTr="00123A40">
        <w:trPr>
          <w:trHeight w:val="409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40" w:rsidRDefault="00123A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3. Фактическое использование бюджетных ассигнований резервного фонда муниципального образования </w:t>
            </w:r>
            <w:r>
              <w:rPr>
                <w:rFonts w:ascii="Times New Roman" w:hAnsi="Times New Roman" w:cs="Times New Roman"/>
                <w:kern w:val="2"/>
                <w:lang w:eastAsia="en-US"/>
              </w:rPr>
              <w:t xml:space="preserve">Васильевский сельсовет </w:t>
            </w:r>
            <w:proofErr w:type="spellStart"/>
            <w:r>
              <w:rPr>
                <w:rFonts w:ascii="Times New Roman" w:hAnsi="Times New Roman" w:cs="Times New Roman"/>
                <w:kern w:val="2"/>
                <w:lang w:eastAsia="en-US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kern w:val="2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0" w:rsidRDefault="00123A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23A40" w:rsidTr="00123A40">
        <w:trPr>
          <w:trHeight w:val="187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40" w:rsidRDefault="00123A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4. Возвращено неиспользованных бюджетных ассигнований резервного фонда муниципального образования </w:t>
            </w:r>
            <w:r>
              <w:rPr>
                <w:rFonts w:ascii="Times New Roman" w:hAnsi="Times New Roman" w:cs="Times New Roman"/>
                <w:kern w:val="2"/>
                <w:lang w:eastAsia="en-US"/>
              </w:rPr>
              <w:t xml:space="preserve">Васильевский сельсовет </w:t>
            </w:r>
            <w:proofErr w:type="spellStart"/>
            <w:r>
              <w:rPr>
                <w:rFonts w:ascii="Times New Roman" w:hAnsi="Times New Roman" w:cs="Times New Roman"/>
                <w:kern w:val="2"/>
                <w:lang w:eastAsia="en-US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kern w:val="2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0" w:rsidRDefault="00123A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23A40" w:rsidTr="00123A40">
        <w:trPr>
          <w:trHeight w:val="585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40" w:rsidRDefault="00123A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5. Нераспределенный остаток бюджетных ассигнований резервного фонда муниципального образования </w:t>
            </w:r>
            <w:r>
              <w:rPr>
                <w:rFonts w:ascii="Times New Roman" w:hAnsi="Times New Roman" w:cs="Times New Roman"/>
                <w:kern w:val="2"/>
                <w:lang w:eastAsia="en-US"/>
              </w:rPr>
              <w:t xml:space="preserve">Васильевский сельсовет </w:t>
            </w:r>
            <w:proofErr w:type="spellStart"/>
            <w:r>
              <w:rPr>
                <w:rFonts w:ascii="Times New Roman" w:hAnsi="Times New Roman" w:cs="Times New Roman"/>
                <w:kern w:val="2"/>
                <w:lang w:eastAsia="en-US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kern w:val="2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0" w:rsidRDefault="00123A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123A40" w:rsidRDefault="00123A40" w:rsidP="00123A40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A40" w:rsidRDefault="00123A40" w:rsidP="00123A4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123A40" w:rsidRDefault="00123A40" w:rsidP="00123A4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Васильевский  сельсовет                                               ___________                                           _________________</w:t>
      </w:r>
    </w:p>
    <w:p w:rsidR="00123A40" w:rsidRDefault="00123A40" w:rsidP="00123A40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(подпись)                                                                                  (расшифровка подписи)</w:t>
      </w:r>
    </w:p>
    <w:p w:rsidR="00123A40" w:rsidRDefault="00123A40" w:rsidP="00123A40">
      <w:pPr>
        <w:pStyle w:val="a5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53CB2" w:rsidRDefault="00B53CB2"/>
    <w:sectPr w:rsidR="00B53CB2" w:rsidSect="00123A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1C47"/>
    <w:multiLevelType w:val="hybridMultilevel"/>
    <w:tmpl w:val="3E8AB39E"/>
    <w:lvl w:ilvl="0" w:tplc="F806A3CC">
      <w:start w:val="1"/>
      <w:numFmt w:val="decimal"/>
      <w:lvlText w:val="%1."/>
      <w:lvlJc w:val="left"/>
      <w:pPr>
        <w:ind w:left="86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3A40"/>
    <w:rsid w:val="00123A40"/>
    <w:rsid w:val="00B5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3A40"/>
    <w:rPr>
      <w:color w:val="0000FF"/>
      <w:u w:val="single"/>
    </w:rPr>
  </w:style>
  <w:style w:type="paragraph" w:styleId="2">
    <w:name w:val="Body Text 2"/>
    <w:basedOn w:val="a"/>
    <w:link w:val="21"/>
    <w:uiPriority w:val="99"/>
    <w:semiHidden/>
    <w:unhideWhenUsed/>
    <w:rsid w:val="00123A40"/>
    <w:pPr>
      <w:tabs>
        <w:tab w:val="left" w:pos="709"/>
      </w:tabs>
      <w:spacing w:after="0" w:line="240" w:lineRule="auto"/>
      <w:ind w:firstLine="709"/>
      <w:jc w:val="center"/>
    </w:pPr>
    <w:rPr>
      <w:rFonts w:ascii="TimesET" w:eastAsia="Times New Roman" w:hAnsi="TimesET" w:cs="TimesET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23A40"/>
  </w:style>
  <w:style w:type="character" w:customStyle="1" w:styleId="a4">
    <w:name w:val="Без интервала Знак"/>
    <w:link w:val="a5"/>
    <w:locked/>
    <w:rsid w:val="00123A40"/>
    <w:rPr>
      <w:rFonts w:ascii="Calibri" w:eastAsia="Calibri" w:hAnsi="Calibri" w:cs="Calibri"/>
    </w:rPr>
  </w:style>
  <w:style w:type="paragraph" w:styleId="a5">
    <w:name w:val="No Spacing"/>
    <w:link w:val="a4"/>
    <w:qFormat/>
    <w:rsid w:val="00123A40"/>
    <w:pPr>
      <w:spacing w:after="0" w:line="240" w:lineRule="auto"/>
    </w:pPr>
    <w:rPr>
      <w:rFonts w:ascii="Calibri" w:eastAsia="Calibri" w:hAnsi="Calibri" w:cs="Calibri"/>
    </w:rPr>
  </w:style>
  <w:style w:type="character" w:customStyle="1" w:styleId="21">
    <w:name w:val="Основной текст 2 Знак1"/>
    <w:basedOn w:val="a0"/>
    <w:link w:val="2"/>
    <w:uiPriority w:val="99"/>
    <w:semiHidden/>
    <w:locked/>
    <w:rsid w:val="00123A40"/>
    <w:rPr>
      <w:rFonts w:ascii="TimesET" w:eastAsia="Times New Roman" w:hAnsi="TimesET" w:cs="TimesE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76;&#1084;&#1080;&#1085;&#1080;&#1089;&#1090;&#1088;&#1072;&#1094;&#1080;&#1103;\AppData\Local\Microsoft\Windows\Temporary%20Internet%20Files\Content.IE5\H3KUQ1OU\&#1052;&#1086;&#1076;&#1077;&#1083;&#1100;&#1085;&#1099;&#1081;%20&#1052;&#1055;&#1040;_&#1086;%20&#1088;&#1077;&#1079;&#1077;&#1088;&#1074;&#1085;&#1086;&#1084;%20&#1092;&#1086;&#1085;&#1076;&#1077;%2014.05.2018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2867</Words>
  <Characters>16348</Characters>
  <Application>Microsoft Office Word</Application>
  <DocSecurity>0</DocSecurity>
  <Lines>136</Lines>
  <Paragraphs>38</Paragraphs>
  <ScaleCrop>false</ScaleCrop>
  <Company/>
  <LinksUpToDate>false</LinksUpToDate>
  <CharactersWithSpaces>19177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2024-02-15T10:04:00Z</dcterms:created>
  <dcterms:modified xsi:type="dcterms:W3CDTF">2024-02-15T10:05:00Z</dcterms:modified>
</cp:coreProperties>
</file>