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FC" w:rsidRDefault="00EA4CFC" w:rsidP="00EA4CF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090" cy="448310"/>
            <wp:effectExtent l="19050" t="0" r="0" b="0"/>
            <wp:docPr id="4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FC" w:rsidRDefault="00EA4CFC" w:rsidP="00EA4CF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EA4CFC" w:rsidRDefault="00EA4CFC" w:rsidP="00EA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4CFC" w:rsidRDefault="00EA4CFC" w:rsidP="00E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A4CFC" w:rsidRDefault="00EA4CFC" w:rsidP="00EA4CFC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CFC" w:rsidRDefault="00EA4CFC" w:rsidP="00EA4C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CFC" w:rsidRDefault="00EA4CFC" w:rsidP="00EA4CF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BE27D0">
        <w:rPr>
          <w:rFonts w:ascii="Times New Roman" w:eastAsia="Times New Roman" w:hAnsi="Times New Roman" w:cs="Times New Roman"/>
          <w:sz w:val="28"/>
          <w:szCs w:val="28"/>
        </w:rPr>
        <w:t xml:space="preserve">10.11. 2023                               с. Васильевка                                             № 86 - </w:t>
      </w:r>
      <w:proofErr w:type="spellStart"/>
      <w:proofErr w:type="gramStart"/>
      <w:r w:rsidRPr="00BE27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A4CFC" w:rsidRDefault="00EA4CFC" w:rsidP="00EA4CFC">
      <w:pPr>
        <w:pStyle w:val="ConsPlusNormal"/>
        <w:ind w:firstLine="0"/>
        <w:rPr>
          <w:rFonts w:ascii="Times New Roman" w:hAnsi="Times New Roman" w:cs="Times New Roman"/>
        </w:rPr>
      </w:pPr>
    </w:p>
    <w:p w:rsidR="00EA4CFC" w:rsidRDefault="00EA4CFC" w:rsidP="00EA4C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методики прогнозирования поступлений</w:t>
      </w:r>
    </w:p>
    <w:p w:rsidR="00EA4CFC" w:rsidRDefault="00EA4CFC" w:rsidP="00EA4C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доходов в бюджет сельского поселения по кодам доходов, </w:t>
      </w:r>
    </w:p>
    <w:p w:rsidR="00EA4CFC" w:rsidRDefault="00EA4CFC" w:rsidP="00EA4C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отношении,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администрация Васильевского </w:t>
      </w:r>
    </w:p>
    <w:p w:rsidR="00EA4CFC" w:rsidRDefault="00EA4CFC" w:rsidP="00EA4C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осуществляет бюджетные полномочия главного</w:t>
      </w:r>
    </w:p>
    <w:p w:rsidR="00EA4CFC" w:rsidRDefault="00EA4CFC" w:rsidP="00EA4C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администратора доходов бюджета сельского поселения</w:t>
      </w:r>
    </w:p>
    <w:p w:rsidR="00EA4CFC" w:rsidRDefault="00EA4CFC" w:rsidP="00EA4CFC">
      <w:pPr>
        <w:pStyle w:val="ConsPlusNormal"/>
        <w:jc w:val="right"/>
        <w:rPr>
          <w:rFonts w:ascii="Times New Roman" w:hAnsi="Times New Roman" w:cs="Times New Roman"/>
        </w:rPr>
      </w:pPr>
    </w:p>
    <w:p w:rsidR="00EA4CFC" w:rsidRDefault="00EA4CFC" w:rsidP="00EA4C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пунктом 1 статьи 160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дополнениями): </w:t>
      </w:r>
    </w:p>
    <w:p w:rsidR="00EA4CFC" w:rsidRDefault="00EA4CFC" w:rsidP="00EA4C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CFC" w:rsidRDefault="00EA4CFC" w:rsidP="00EA4CFC">
      <w:pPr>
        <w:pStyle w:val="a4"/>
        <w:numPr>
          <w:ilvl w:val="0"/>
          <w:numId w:val="1"/>
        </w:numPr>
        <w:spacing w:after="0" w:line="240" w:lineRule="auto"/>
        <w:ind w:left="0"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методику прогнозирования поступлений доходов в бюджет сельского поселения по кодам доходов, </w:t>
      </w:r>
      <w:r>
        <w:rPr>
          <w:rFonts w:ascii="Times New Roman" w:hAnsi="Times New Roman"/>
          <w:bCs/>
          <w:color w:val="000000"/>
          <w:sz w:val="28"/>
          <w:szCs w:val="28"/>
        </w:rPr>
        <w:t>в отношении которых администрация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Васильевского сельсовета осуществляет бюджетные полномочия главного администратора доходов бюджета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приложению к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A4CFC" w:rsidRDefault="00EA4CFC" w:rsidP="00EA4CFC">
      <w:pPr>
        <w:pStyle w:val="a4"/>
        <w:numPr>
          <w:ilvl w:val="0"/>
          <w:numId w:val="1"/>
        </w:numPr>
        <w:spacing w:after="0" w:line="240" w:lineRule="auto"/>
        <w:ind w:left="0" w:firstLine="27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части формирования и прогнозирования доходов бюджета сельского поселения, разрабатывать и утверждать по согласованию с финансовым отделом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правовые акты о внесении изменений в методику </w:t>
      </w:r>
      <w:r>
        <w:rPr>
          <w:rFonts w:ascii="Times New Roman" w:hAnsi="Times New Roman"/>
          <w:color w:val="000000"/>
          <w:sz w:val="28"/>
          <w:szCs w:val="28"/>
        </w:rPr>
        <w:t>прогнозирования поступлений доходов в бюджет сельского поселения</w:t>
      </w:r>
      <w:r>
        <w:rPr>
          <w:rFonts w:ascii="Times New Roman" w:hAnsi="Times New Roman"/>
          <w:sz w:val="28"/>
          <w:szCs w:val="28"/>
        </w:rPr>
        <w:t>, 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1 постановления,  в 2-месячный срок после вступления соответствующих изменений в силу</w:t>
      </w:r>
      <w:r>
        <w:rPr>
          <w:rFonts w:ascii="Times New Roman" w:hAnsi="Times New Roman"/>
        </w:rPr>
        <w:t>.</w:t>
      </w:r>
    </w:p>
    <w:p w:rsidR="00EA4CFC" w:rsidRPr="003D3F6C" w:rsidRDefault="00EA4CFC" w:rsidP="00EA4CFC">
      <w:pPr>
        <w:pStyle w:val="a4"/>
        <w:numPr>
          <w:ilvl w:val="0"/>
          <w:numId w:val="1"/>
        </w:numPr>
        <w:spacing w:after="0" w:line="240" w:lineRule="auto"/>
        <w:ind w:left="0" w:right="15"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 и подлежит </w:t>
      </w:r>
      <w:r w:rsidRPr="003D3F6C">
        <w:rPr>
          <w:rFonts w:ascii="Times New Roman" w:hAnsi="Times New Roman"/>
          <w:sz w:val="28"/>
          <w:szCs w:val="28"/>
        </w:rPr>
        <w:t>размещению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образования.</w:t>
      </w:r>
    </w:p>
    <w:p w:rsidR="00EA4CFC" w:rsidRDefault="00EA4CFC" w:rsidP="00EA4CFC">
      <w:pPr>
        <w:pStyle w:val="a4"/>
        <w:numPr>
          <w:ilvl w:val="0"/>
          <w:numId w:val="1"/>
        </w:numPr>
        <w:spacing w:after="0" w:line="240" w:lineRule="auto"/>
        <w:ind w:left="0" w:firstLine="27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6B7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46B7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 </w:t>
      </w:r>
      <w:proofErr w:type="spellStart"/>
      <w:r w:rsidRPr="00646B7A">
        <w:rPr>
          <w:rFonts w:ascii="Times New Roman" w:hAnsi="Times New Roman"/>
          <w:color w:val="000000"/>
          <w:sz w:val="28"/>
          <w:szCs w:val="28"/>
        </w:rPr>
        <w:t>Стрельникову</w:t>
      </w:r>
      <w:proofErr w:type="spellEnd"/>
      <w:r w:rsidRPr="00646B7A">
        <w:rPr>
          <w:rFonts w:ascii="Times New Roman" w:hAnsi="Times New Roman"/>
          <w:color w:val="000000"/>
          <w:sz w:val="28"/>
          <w:szCs w:val="28"/>
        </w:rPr>
        <w:t xml:space="preserve"> Е.С., бухгалтера ЦОД </w:t>
      </w:r>
      <w:proofErr w:type="spellStart"/>
      <w:r w:rsidRPr="00646B7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646B7A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EA4CFC" w:rsidRDefault="00EA4CFC" w:rsidP="00EA4CFC">
      <w:pPr>
        <w:pStyle w:val="a4"/>
        <w:spacing w:after="0" w:line="240" w:lineRule="auto"/>
        <w:ind w:left="2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CFC" w:rsidRPr="00374F5B" w:rsidRDefault="00EA4CFC" w:rsidP="00EA4C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4F5B">
        <w:rPr>
          <w:rFonts w:ascii="Times New Roman" w:eastAsia="Calibri" w:hAnsi="Times New Roman"/>
          <w:sz w:val="28"/>
          <w:szCs w:val="28"/>
        </w:rPr>
        <w:t>Глава  муниципального образования                                              В.Н. Тихонов</w:t>
      </w:r>
    </w:p>
    <w:p w:rsidR="00EA4CFC" w:rsidRPr="00BE27D0" w:rsidRDefault="00EA4CFC" w:rsidP="00E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финансовому отделу администрации района, прокуратуре района, на сайт в дело.</w:t>
      </w:r>
    </w:p>
    <w:p w:rsidR="00EA4CFC" w:rsidRDefault="00EA4CFC" w:rsidP="00EA4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CFC" w:rsidRDefault="00EA4CFC" w:rsidP="00EA4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CFC" w:rsidRDefault="00EA4CFC" w:rsidP="00EA4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A4CFC" w:rsidRDefault="00EA4CFC" w:rsidP="00EA4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E27D0">
        <w:rPr>
          <w:rFonts w:ascii="Times New Roman" w:eastAsia="Times New Roman" w:hAnsi="Times New Roman" w:cs="Times New Roman"/>
          <w:sz w:val="24"/>
          <w:szCs w:val="24"/>
        </w:rPr>
        <w:t>от 10.11.2023 г. № 86-п</w:t>
      </w:r>
    </w:p>
    <w:p w:rsidR="00EA4CFC" w:rsidRDefault="00EA4CFC" w:rsidP="00EA4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FC" w:rsidRDefault="00EA4CFC" w:rsidP="00EA4C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A4CFC" w:rsidRDefault="00EA4CFC" w:rsidP="00EA4C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бюджетные полномочия главного администратора по которым осуществляет Администрация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A4CFC" w:rsidRDefault="00EA4CFC" w:rsidP="00EA4C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FC" w:rsidRDefault="00EA4CFC" w:rsidP="00EA4CFC">
      <w:pPr>
        <w:pStyle w:val="ConsPlusNormal"/>
        <w:numPr>
          <w:ilvl w:val="0"/>
          <w:numId w:val="2"/>
        </w:num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4CFC" w:rsidRDefault="00EA4CFC" w:rsidP="00EA4CF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A4CFC" w:rsidRDefault="00EA4CFC" w:rsidP="00EA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1.1.Настоящая методика прогнозирования поступлений доходов в бюджет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(далее – администрация),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в целях реализации администрацией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EA4CFC" w:rsidRDefault="00EA4CFC" w:rsidP="00EA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доходных источников, закрепленных за администрацией постановлением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A4CFC" w:rsidRDefault="00EA4CFC" w:rsidP="00EA4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Прогнозирование администрацией доходов может осуществляться следующими методами или комбинациями методов:</w:t>
      </w:r>
    </w:p>
    <w:p w:rsidR="00EA4CFC" w:rsidRDefault="00EA4CFC" w:rsidP="00EA4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A4CFC" w:rsidRDefault="00EA4CFC" w:rsidP="00EA4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усреднение - расчет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EA4CFC" w:rsidRDefault="00EA4CFC" w:rsidP="00EA4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4CFC" w:rsidRDefault="00EA4CFC" w:rsidP="00EA4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A4CFC" w:rsidRDefault="00EA4CFC" w:rsidP="00EA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иной способ.</w:t>
      </w:r>
    </w:p>
    <w:p w:rsidR="00EA4CFC" w:rsidRDefault="00EA4CFC" w:rsidP="00EA4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 Методика прогнозирования предусматривает использование при расчете прогнозного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 поступлений доходов оценки ожидаемых результатов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EA4CFC" w:rsidRDefault="00EA4CFC" w:rsidP="00EA4CFC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EA4CFC" w:rsidRDefault="00EA4CFC" w:rsidP="00EA4C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Прогнозирование поступлений доходов в местный бюджет в виде безвозмездных поступлений от других бюджетов бюджетной системы Российской Федерации осуществляется на основании нормативных правовых актов (проектов нормативных правовых актов о распределении межбюджетных трансфертов местному бюджету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законом Оренбургской области об областном бюджете (проектом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>)  решением о районном бюджете (проектом решения).</w:t>
      </w:r>
    </w:p>
    <w:p w:rsidR="00EA4CFC" w:rsidRDefault="00EA4CFC" w:rsidP="00EA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 на сумму превышения (уменьшения) фактического объема их поступления.</w:t>
      </w:r>
    </w:p>
    <w:p w:rsidR="00EA4CFC" w:rsidRDefault="00EA4CFC" w:rsidP="00EA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EA4CFC" w:rsidRDefault="00EA4CFC" w:rsidP="00EA4C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доходов от возврата остатков субсидий, субвенций и иных межбюджетных трансфертов и возврат остатков, имеющих целевое назначение, прошлых лет имеют несистемный характер и относятся к категории не поддающихся объективному прогнозированию.</w:t>
      </w:r>
    </w:p>
    <w:p w:rsidR="00EA4CFC" w:rsidRDefault="00EA4CFC" w:rsidP="00EA4C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FC" w:rsidRDefault="00EA4CFC" w:rsidP="00EA4C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FC" w:rsidRDefault="00EA4CFC" w:rsidP="00EA4C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FC" w:rsidRDefault="00EA4CFC" w:rsidP="00E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A4CFC">
          <w:pgSz w:w="11906" w:h="16838"/>
          <w:pgMar w:top="567" w:right="707" w:bottom="567" w:left="1701" w:header="709" w:footer="709" w:gutter="0"/>
          <w:cols w:space="720"/>
        </w:sectPr>
      </w:pPr>
    </w:p>
    <w:p w:rsidR="00EA4CFC" w:rsidRDefault="00EA4CFC" w:rsidP="00EA4CF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методике</w:t>
      </w:r>
    </w:p>
    <w:p w:rsidR="00EA4CFC" w:rsidRDefault="00EA4CFC" w:rsidP="00EA4CF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прогнозирования поступлений доходов</w:t>
      </w:r>
    </w:p>
    <w:p w:rsidR="00EA4CFC" w:rsidRDefault="00EA4CFC" w:rsidP="00EA4CF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 сельского поселения</w:t>
      </w:r>
    </w:p>
    <w:p w:rsidR="00EA4CFC" w:rsidRDefault="00EA4CFC" w:rsidP="00EA4CFC">
      <w:pPr>
        <w:pStyle w:val="ConsPlusNormal"/>
        <w:rPr>
          <w:color w:val="FF0000"/>
          <w:sz w:val="24"/>
          <w:szCs w:val="24"/>
        </w:rPr>
      </w:pPr>
    </w:p>
    <w:tbl>
      <w:tblPr>
        <w:tblW w:w="156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67"/>
        <w:gridCol w:w="1844"/>
        <w:gridCol w:w="1985"/>
        <w:gridCol w:w="2063"/>
        <w:gridCol w:w="1417"/>
        <w:gridCol w:w="633"/>
        <w:gridCol w:w="2978"/>
        <w:gridCol w:w="3545"/>
      </w:tblGrid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главного администратора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КБК </w:t>
            </w:r>
            <w:hyperlink r:id="rId6" w:anchor="P185" w:history="1">
              <w:r>
                <w:rPr>
                  <w:rStyle w:val="a5"/>
                  <w:rFonts w:eastAsia="Calibri"/>
                </w:rPr>
                <w:t>&lt;1&gt;</w:t>
              </w:r>
            </w:hyperlink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КБК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метода расчета </w:t>
            </w:r>
            <w:hyperlink r:id="rId7" w:anchor="P186" w:history="1">
              <w:r>
                <w:rPr>
                  <w:rStyle w:val="a5"/>
                  <w:rFonts w:eastAsia="Calibri"/>
                </w:rPr>
                <w:t>&lt;2&gt;</w:t>
              </w:r>
            </w:hyperlink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Формула расчета </w:t>
            </w:r>
            <w:hyperlink r:id="rId8" w:anchor="P187" w:history="1">
              <w:r>
                <w:rPr>
                  <w:rStyle w:val="a5"/>
                  <w:rFonts w:eastAsia="Calibri"/>
                </w:rPr>
                <w:t>&lt;3&gt;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Алгоритм расчета </w:t>
            </w:r>
            <w:hyperlink r:id="rId9" w:anchor="P188" w:history="1">
              <w:r>
                <w:rPr>
                  <w:rStyle w:val="a5"/>
                  <w:rFonts w:eastAsia="Calibri"/>
                </w:rPr>
                <w:t>&lt;4&gt;</w:t>
              </w:r>
            </w:hyperlink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ind w:left="504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Описание показателей </w:t>
            </w:r>
            <w:hyperlink r:id="rId10" w:anchor="P189" w:history="1">
              <w:r>
                <w:rPr>
                  <w:rStyle w:val="a5"/>
                  <w:rFonts w:eastAsia="Calibri"/>
                </w:rPr>
                <w:t>&lt;5&gt;</w:t>
              </w:r>
            </w:hyperlink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 прямого счета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242424"/>
                <w:lang w:eastAsia="en-US"/>
              </w:rPr>
              <w:t>Пгос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424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42424"/>
                <w:lang w:eastAsia="en-US"/>
              </w:rPr>
              <w:t>Ож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  <w:color w:val="242424"/>
                <w:lang w:eastAsia="en-US"/>
              </w:rPr>
              <w:t xml:space="preserve"> + (-)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42424"/>
                <w:lang w:eastAsia="en-US"/>
              </w:rPr>
              <w:t>Д,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 xml:space="preserve"> - 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EA4CFC" w:rsidRDefault="00EA4CFC" w:rsidP="00F44489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 xml:space="preserve"> – 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Д - 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дополнительные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3.</w:t>
            </w: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11105025100000120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 прямого счета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Аим=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об*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Кин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Аим-арендная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 объекта, сдаваемого в аренду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ставка арендной платы</w:t>
            </w: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уровень инфляции, установленный федеральным законодательством</w:t>
            </w: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 прямого счета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Аим=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об*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Кин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Аим-арендная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 объекта, сдаваемого в аренду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ставка арендной платы</w:t>
            </w: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уровень инфляции, установленный федеральным законодательством</w:t>
            </w: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11406025100000430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Метод прямого счета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расчета определяется исходя из балансовой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(остаточной) стоимости земельных участков, планируемых к реализации и остатков основного долга по договорам купли-продажи с рассрочкой платежа на основании: - договоров купли-продажи с предоставлением рассрочки платежа;</w:t>
            </w:r>
          </w:p>
          <w:p w:rsidR="00EA4CFC" w:rsidRDefault="00EA4CFC" w:rsidP="00F444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Доходы в виде штрафов, пеней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муниципальными образованиями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имеют несистемный характер поступлений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не прогнозируются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 очередной финансовый год.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11607090100000140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Иные штрафы, неустойки,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пени, уплаченные в соответствии с законом или договором в случае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неисполнения или ненадлежащего исполнения обязательств перед муниципальным органом имеют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несистемный характер поступлений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и не прогнозируются на очередной финансовый год.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11701050100000180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Поступление доходов носит несистемный характер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 на  очередной  финансовый  год  и  плановый  период  не  производится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Поступление доходов носит несистемный характер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117150301 0000150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поступлений осуществляется на основании итогов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отбору инициативных проектов согласно установленных нормативными правовыми актами Оренбургской области</w:t>
            </w:r>
          </w:p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202150011 0000150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бюджете (проекта решения) на очередной финансовый год и плановый период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20220216100000150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20220299100000150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20220302100000150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2023511810 0000150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 решением Совета Депутатов о бюджете (проекта решения) на очередной финансовый год и плановый период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Саракташскогорайона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20249999100000150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в бюджет сельского поселения осуществляется в соответствии с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 районном бюджете на очередной год и на плановый период и НПА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20405099100000150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Прогнозирование поступлений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CFC" w:rsidTr="00F44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FC" w:rsidRDefault="00EA4CFC" w:rsidP="00F444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Прогнозирование поступлений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C" w:rsidRDefault="00EA4CFC" w:rsidP="00F44489">
            <w:pPr>
              <w:spacing w:line="240" w:lineRule="auto"/>
              <w:ind w:right="-6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A4CFC" w:rsidRDefault="00EA4CFC" w:rsidP="00EA4CFC"/>
    <w:p w:rsidR="002E2EF5" w:rsidRDefault="002E2EF5"/>
    <w:sectPr w:rsidR="002E2EF5" w:rsidSect="00EA4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213ED"/>
    <w:multiLevelType w:val="hybridMultilevel"/>
    <w:tmpl w:val="77E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4CFC"/>
    <w:rsid w:val="002E2EF5"/>
    <w:rsid w:val="00EA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4"/>
    <w:uiPriority w:val="99"/>
    <w:locked/>
    <w:rsid w:val="00EA4CFC"/>
  </w:style>
  <w:style w:type="paragraph" w:styleId="a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3"/>
    <w:uiPriority w:val="99"/>
    <w:qFormat/>
    <w:rsid w:val="00EA4C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4CFC"/>
    <w:rPr>
      <w:color w:val="0000FF"/>
      <w:u w:val="single"/>
    </w:rPr>
  </w:style>
  <w:style w:type="paragraph" w:customStyle="1" w:styleId="ConsPlusNormal">
    <w:name w:val="ConsPlusNormal"/>
    <w:link w:val="ConsPlusNormal0"/>
    <w:rsid w:val="00EA4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A4CF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A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2;&#1077;&#1090;&#1086;&#1076;&#1080;&#1082;&#1072;%20&#1087;&#1088;&#1086;&#1075;&#1085;&#1086;&#1079;&#1080;&#1088;&#1086;&#1074;&#1072;&#1085;&#1080;&#1103;%20&#1089;&#1086;&#1074;&#1077;&#1090;&#1099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&#1052;&#1077;&#1090;&#1086;&#1076;&#1080;&#1082;&#1072;%20&#1087;&#1088;&#1086;&#1075;&#1085;&#1086;&#1079;&#1080;&#1088;&#1086;&#1074;&#1072;&#1085;&#1080;&#1103;%20&#1089;&#1086;&#1074;&#1077;&#1090;&#1099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52;&#1077;&#1090;&#1086;&#1076;&#1080;&#1082;&#1072;%20&#1087;&#1088;&#1086;&#1075;&#1085;&#1086;&#1079;&#1080;&#1088;&#1086;&#1074;&#1072;&#1085;&#1080;&#1103;%20&#1089;&#1086;&#1074;&#1077;&#1090;&#1099;%20(1)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1\Downloads\&#1052;&#1077;&#1090;&#1086;&#1076;&#1080;&#1082;&#1072;%20&#1087;&#1088;&#1086;&#1075;&#1085;&#1086;&#1079;&#1080;&#1088;&#1086;&#1074;&#1072;&#1085;&#1080;&#1103;%20&#1089;&#1086;&#1074;&#1077;&#1090;&#1099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2;&#1077;&#1090;&#1086;&#1076;&#1080;&#1082;&#1072;%20&#1087;&#1088;&#1086;&#1075;&#1085;&#1086;&#1079;&#1080;&#1088;&#1086;&#1074;&#1072;&#1085;&#1080;&#1103;%20&#1089;&#1086;&#1074;&#1077;&#1090;&#1099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2938</Words>
  <Characters>16748</Characters>
  <Application>Microsoft Office Word</Application>
  <DocSecurity>0</DocSecurity>
  <Lines>139</Lines>
  <Paragraphs>39</Paragraphs>
  <ScaleCrop>false</ScaleCrop>
  <Company/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2023-11-27T07:31:00Z</dcterms:created>
  <dcterms:modified xsi:type="dcterms:W3CDTF">2023-11-27T07:31:00Z</dcterms:modified>
</cp:coreProperties>
</file>