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B" w:rsidRDefault="0002267B" w:rsidP="0002267B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02267B" w:rsidRDefault="0002267B" w:rsidP="0002267B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02267B" w:rsidRPr="0002267B" w:rsidRDefault="0002267B" w:rsidP="0002267B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267B" w:rsidRDefault="0002267B" w:rsidP="0002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2267B" w:rsidRDefault="0002267B" w:rsidP="0002267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2267B" w:rsidRDefault="0002267B" w:rsidP="0002267B">
      <w:pPr>
        <w:ind w:right="283"/>
      </w:pPr>
    </w:p>
    <w:p w:rsidR="0002267B" w:rsidRDefault="0002267B" w:rsidP="00022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39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патрульно-маневренных</w:t>
      </w:r>
    </w:p>
    <w:p w:rsidR="0002267B" w:rsidRDefault="0002267B" w:rsidP="00022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на территории муниципального образования 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2267B" w:rsidRDefault="0002267B" w:rsidP="000226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267B" w:rsidRDefault="0002267B" w:rsidP="0002267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Создать в каждом населенном пункте  Васильевского сельсовета Саракташского района Оренбургской области патрульно-маневренные группы.</w:t>
      </w:r>
    </w:p>
    <w:p w:rsidR="0002267B" w:rsidRDefault="0002267B" w:rsidP="0002267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Организовать работу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локализации.</w:t>
      </w:r>
    </w:p>
    <w:p w:rsidR="0002267B" w:rsidRDefault="0002267B" w:rsidP="0002267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Утвердить порядок организации и работы патрульно-маневренных групп Васильевского сельсовета Саракташского района Оренбургской области (приложение № 1).</w:t>
      </w:r>
    </w:p>
    <w:p w:rsidR="0002267B" w:rsidRDefault="0002267B" w:rsidP="0002267B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Утвердить состав патрульно-маневренных групп (приложение № 2).</w:t>
      </w:r>
    </w:p>
    <w:p w:rsidR="0002267B" w:rsidRDefault="0002267B" w:rsidP="000226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267B" w:rsidRDefault="0002267B" w:rsidP="0002267B">
      <w:pPr>
        <w:pStyle w:val="21"/>
        <w:widowControl/>
        <w:numPr>
          <w:ilvl w:val="0"/>
          <w:numId w:val="1"/>
        </w:numPr>
        <w:tabs>
          <w:tab w:val="left" w:pos="540"/>
        </w:tabs>
        <w:autoSpaceDE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2267B" w:rsidRDefault="0002267B" w:rsidP="0002267B">
      <w:pPr>
        <w:tabs>
          <w:tab w:val="left" w:pos="540"/>
        </w:tabs>
        <w:jc w:val="both"/>
        <w:rPr>
          <w:rFonts w:ascii="Arial" w:hAnsi="Arial" w:cs="Arial"/>
          <w:sz w:val="28"/>
          <w:szCs w:val="20"/>
        </w:rPr>
      </w:pPr>
    </w:p>
    <w:p w:rsidR="0002267B" w:rsidRDefault="0002267B" w:rsidP="000226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о главы </w:t>
      </w:r>
      <w:r>
        <w:rPr>
          <w:rFonts w:ascii="Times New Roman" w:hAnsi="Times New Roman" w:cs="Times New Roman"/>
          <w:sz w:val="28"/>
          <w:szCs w:val="28"/>
        </w:rPr>
        <w:tab/>
        <w:t>сельсовета                                                                Л.П. Адушкина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t xml:space="preserve">                                                                                                     </w:t>
      </w:r>
    </w:p>
    <w:p w:rsidR="0002267B" w:rsidRDefault="0002267B" w:rsidP="000226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2267B" w:rsidRDefault="0002267B" w:rsidP="000226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267B" w:rsidRDefault="0002267B" w:rsidP="000226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Васильевского сельсовета</w:t>
      </w:r>
    </w:p>
    <w:p w:rsidR="0002267B" w:rsidRDefault="0002267B" w:rsidP="000226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21.06.2017  № 39-п</w:t>
      </w:r>
    </w:p>
    <w:p w:rsidR="0002267B" w:rsidRDefault="0002267B" w:rsidP="000226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работы патрульно-маневренных групп 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Васильевского сельсовета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Патрульно-маневренные группы создаются в каждом населенном пункте (не менее одной)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Количество зависит от числа населенных пунктов и степени пожарной опасности.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Рекомендуемый состав: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Васильевского сельсовета или работник населенного пункта назначенный им;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 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передача информации в ЕДДС района;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момента получения информации о выявленной термической точке.</w:t>
      </w:r>
    </w:p>
    <w:p w:rsidR="0002267B" w:rsidRDefault="0002267B" w:rsidP="000226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отработки термических точек, старший патрульно-маневренной группы сообщает в ЕДДС района.</w:t>
      </w:r>
    </w:p>
    <w:p w:rsidR="0002267B" w:rsidRDefault="0002267B" w:rsidP="0002267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  <w:rPr>
          <w:rFonts w:ascii="Arial" w:hAnsi="Arial" w:cs="Arial"/>
          <w:sz w:val="20"/>
          <w:szCs w:val="20"/>
        </w:rPr>
      </w:pPr>
    </w:p>
    <w:p w:rsidR="0002267B" w:rsidRDefault="0002267B" w:rsidP="0002267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2267B" w:rsidRDefault="0002267B" w:rsidP="0002267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2267B" w:rsidRDefault="0002267B" w:rsidP="0002267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2267B" w:rsidRDefault="0002267B" w:rsidP="0002267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2267B" w:rsidRDefault="0002267B" w:rsidP="0002267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</w:t>
      </w: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Default="0002267B" w:rsidP="0002267B">
      <w:pPr>
        <w:pStyle w:val="a6"/>
        <w:rPr>
          <w:rFonts w:asciiTheme="minorHAnsi" w:eastAsiaTheme="minorEastAsia" w:hAnsiTheme="minorHAnsi" w:cstheme="minorBidi"/>
        </w:rPr>
      </w:pPr>
    </w:p>
    <w:p w:rsidR="0002267B" w:rsidRPr="0002267B" w:rsidRDefault="0002267B" w:rsidP="000226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2267B" w:rsidRDefault="0002267B" w:rsidP="000226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Васильевского сельсовета</w:t>
      </w:r>
    </w:p>
    <w:p w:rsidR="0002267B" w:rsidRDefault="0002267B" w:rsidP="000226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20.06.2017  № 39-п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Васильевского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02267B" w:rsidRDefault="0002267B" w:rsidP="00022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B" w:rsidRDefault="0002267B" w:rsidP="0002267B">
      <w:pPr>
        <w:pStyle w:val="a6"/>
        <w:jc w:val="center"/>
        <w:rPr>
          <w:b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3"/>
        <w:gridCol w:w="3116"/>
        <w:gridCol w:w="2834"/>
      </w:tblGrid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b w:val="0"/>
                <w:spacing w:val="-5"/>
                <w:sz w:val="28"/>
                <w:szCs w:val="28"/>
              </w:rPr>
              <w:t>№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b w:val="0"/>
                <w:spacing w:val="-5"/>
                <w:sz w:val="28"/>
                <w:szCs w:val="28"/>
              </w:rPr>
              <w:t>Населенные пункты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b w:val="0"/>
                <w:spacing w:val="-5"/>
                <w:sz w:val="28"/>
                <w:szCs w:val="28"/>
              </w:rPr>
              <w:t>Ф.И.О.</w:t>
            </w:r>
          </w:p>
          <w:p w:rsidR="0002267B" w:rsidRDefault="0002267B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b w:val="0"/>
                <w:spacing w:val="-5"/>
                <w:sz w:val="28"/>
                <w:szCs w:val="28"/>
              </w:rPr>
              <w:t>патрульного,</w:t>
            </w:r>
          </w:p>
          <w:p w:rsidR="0002267B" w:rsidRDefault="0002267B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b w:val="0"/>
                <w:spacing w:val="-5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b w:val="0"/>
                <w:spacing w:val="-5"/>
                <w:sz w:val="28"/>
                <w:szCs w:val="28"/>
              </w:rPr>
              <w:t>Должность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с. Васильевка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Якимов А.С.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Глава сельского поселения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Назаров Н.Н.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Водитель администрации сельского поселения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Клюшников П.В.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с.Кульчумово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Мурсалимов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К.Х.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Гумиров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И.Ш.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с.Татарский </w:t>
            </w:r>
          </w:p>
          <w:p w:rsidR="0002267B" w:rsidRDefault="0002267B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Саракташ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Амиров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Б.А.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Ишмухаметов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С.С.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Неработающий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с. Новоселки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Боровикова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Боровиков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клуба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Новоселки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(</w:t>
            </w:r>
            <w:proofErr w:type="gramEnd"/>
            <w:r>
              <w:rPr>
                <w:rStyle w:val="FontStyle20"/>
                <w:bCs/>
                <w:spacing w:val="-5"/>
                <w:sz w:val="28"/>
                <w:szCs w:val="28"/>
              </w:rPr>
              <w:t>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Покурлей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Запопадько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Карпушова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Л.В.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клуба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Покурлей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Райманово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Труханов М.А.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267B" w:rsidTr="00022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B" w:rsidRDefault="0002267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proofErr w:type="spellStart"/>
            <w:r>
              <w:rPr>
                <w:rStyle w:val="FontStyle20"/>
                <w:bCs/>
                <w:spacing w:val="-5"/>
                <w:sz w:val="28"/>
                <w:szCs w:val="28"/>
              </w:rPr>
              <w:t>Каскинов</w:t>
            </w:r>
            <w:proofErr w:type="spellEnd"/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Э.З.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7B" w:rsidRDefault="0002267B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Неработающий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</w:tc>
      </w:tr>
    </w:tbl>
    <w:p w:rsidR="001708E5" w:rsidRDefault="001708E5"/>
    <w:sectPr w:rsidR="001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B"/>
    <w:rsid w:val="0002267B"/>
    <w:rsid w:val="001708E5"/>
    <w:rsid w:val="007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021C-35D2-47B3-A660-69D3B3E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267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267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1"/>
    <w:unhideWhenUsed/>
    <w:rsid w:val="000226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semiHidden/>
    <w:rsid w:val="0002267B"/>
  </w:style>
  <w:style w:type="paragraph" w:styleId="21">
    <w:name w:val="Body Text Indent 2"/>
    <w:basedOn w:val="a"/>
    <w:link w:val="22"/>
    <w:semiHidden/>
    <w:unhideWhenUsed/>
    <w:rsid w:val="0002267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2267B"/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6"/>
    <w:locked/>
    <w:rsid w:val="0002267B"/>
    <w:rPr>
      <w:rFonts w:ascii="Calibri" w:eastAsia="Calibri" w:hAnsi="Calibri" w:cs="Calibri"/>
    </w:rPr>
  </w:style>
  <w:style w:type="paragraph" w:styleId="a6">
    <w:name w:val="No Spacing"/>
    <w:link w:val="a5"/>
    <w:qFormat/>
    <w:rsid w:val="0002267B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0226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3"/>
    <w:locked/>
    <w:rsid w:val="0002267B"/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uiPriority w:val="99"/>
    <w:rsid w:val="0002267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02267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2017-06-30T03:40:00Z</dcterms:created>
  <dcterms:modified xsi:type="dcterms:W3CDTF">2017-06-30T03:40:00Z</dcterms:modified>
</cp:coreProperties>
</file>